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12" w:lineRule="atLeast"/>
        <w:ind w:firstLine="1682"/>
        <w:rPr>
          <w:rFonts w:ascii="宋体" w:cs="宋体"/>
          <w:kern w:val="0"/>
          <w:lang w:val="zh-CN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盐城市排污权交易方式联系单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88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1502"/>
        <w:gridCol w:w="962"/>
        <w:gridCol w:w="135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6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排污权交易项目编号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排污权指标名称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化学需氧量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氨氮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二氧化硫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氮氧化物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本期计划总出让数量（吨/年）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5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本期报名申请受让数量（吨/年）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jc w:val="center"/>
            </w:pPr>
          </w:p>
        </w:tc>
        <w:tc>
          <w:tcPr>
            <w:tcW w:w="13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8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盐城市环保局：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firstLine="560" w:firstLineChars="20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根据《盐城市排污权有偿使用和交易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/>
                <w:sz w:val="24"/>
                <w:szCs w:val="24"/>
              </w:rPr>
              <w:t>办法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（试行）</w:t>
            </w:r>
            <w:r>
              <w:rPr>
                <w:rFonts w:hint="eastAsia" w:ascii="宋体" w:hAnsi="宋体"/>
                <w:sz w:val="24"/>
                <w:szCs w:val="24"/>
              </w:rPr>
              <w:t>》和《盐城市排污权交易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操作</w:t>
            </w:r>
            <w:r>
              <w:rPr>
                <w:rFonts w:hint="eastAsia" w:ascii="宋体" w:hAnsi="宋体"/>
                <w:sz w:val="24"/>
                <w:szCs w:val="24"/>
              </w:rPr>
              <w:t>规则》，请贵局制确定本次交易方式。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firstLine="560" w:firstLineChars="20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一、协议出让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firstLine="560" w:firstLineChars="20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二、竞价交易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firstLine="560" w:firstLineChars="20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三、拍卖交易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firstLine="560" w:firstLineChars="20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left="0" w:leftChars="0" w:right="458" w:rightChars="218" w:firstLine="4480" w:firstLineChars="1600"/>
              <w:jc w:val="both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盐城市公共资源交易中心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88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firstLine="560" w:firstLineChars="20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根据盐城市公共资源交易中心本期报名申购情况，我局确定本次出让交易方式为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 w:firstLine="4620" w:firstLineChars="165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盐城市环境保护局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auto"/>
              <w:ind w:left="0" w:leftChars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0817"/>
    <w:rsid w:val="30130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2016-06-12T08:43:00Z</dcterms:created>
  <dc:creator>Administrator</dc:creator>
  <cp:lastModifiedBy>Administrator</cp:lastModifiedBy>
  <cp:lastPrinted>2016-06-12T08:43:53Z</cp:lastPrinted>
  <dcterms:modified xsi:type="dcterms:W3CDTF">2016-06-12T08:44:11Z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