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84823">
      <w:pPr>
        <w:pStyle w:val="6"/>
        <w:spacing w:before="120" w:beforeAutospacing="0" w:after="120" w:afterAutospacing="0" w:line="360" w:lineRule="auto"/>
      </w:pPr>
      <w:r>
        <w:t> </w:t>
      </w:r>
    </w:p>
    <w:p w14:paraId="63B4F05B">
      <w:pPr>
        <w:pStyle w:val="6"/>
        <w:spacing w:before="120" w:beforeAutospacing="0" w:after="120" w:afterAutospacing="0" w:line="360" w:lineRule="auto"/>
        <w:jc w:val="center"/>
      </w:pPr>
      <w:r>
        <w:rPr>
          <w:rFonts w:ascii="Arial" w:hAnsi="Arial" w:cs="Arial"/>
          <w:b/>
          <w:color w:val="000000"/>
          <w:sz w:val="84"/>
          <w:szCs w:val="84"/>
        </w:rPr>
        <w:t>竞争性谈判文件</w:t>
      </w:r>
    </w:p>
    <w:p w14:paraId="39EFAC63">
      <w:pPr>
        <w:pStyle w:val="6"/>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66E5DE16">
      <w:pPr>
        <w:pStyle w:val="6"/>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p>
    <w:p w14:paraId="3A509644">
      <w:pPr>
        <w:pStyle w:val="6"/>
        <w:spacing w:beforeAutospacing="0" w:afterAutospacing="0" w:line="360" w:lineRule="auto"/>
      </w:pPr>
      <w:r>
        <w:t> </w:t>
      </w:r>
    </w:p>
    <w:p w14:paraId="7CDCD007">
      <w:pPr>
        <w:pStyle w:val="6"/>
        <w:spacing w:beforeAutospacing="0" w:afterAutospacing="0" w:line="360" w:lineRule="auto"/>
      </w:pPr>
      <w:r>
        <w:t> </w:t>
      </w:r>
    </w:p>
    <w:p w14:paraId="3DC0A61F">
      <w:pPr>
        <w:pStyle w:val="6"/>
        <w:spacing w:beforeAutospacing="0" w:afterAutospacing="0" w:line="360" w:lineRule="auto"/>
      </w:pPr>
      <w:r>
        <w:t> </w:t>
      </w:r>
    </w:p>
    <w:p w14:paraId="5E4EC246">
      <w:pPr>
        <w:pStyle w:val="6"/>
        <w:spacing w:beforeAutospacing="0" w:afterAutospacing="0" w:line="360" w:lineRule="auto"/>
      </w:pPr>
      <w:r>
        <w:t> </w:t>
      </w:r>
    </w:p>
    <w:p w14:paraId="678BE4A4">
      <w:pPr>
        <w:pStyle w:val="6"/>
        <w:spacing w:beforeAutospacing="0" w:afterAutospacing="0" w:line="360" w:lineRule="auto"/>
      </w:pPr>
      <w:r>
        <w:t> </w:t>
      </w:r>
    </w:p>
    <w:p w14:paraId="58348B6D">
      <w:pPr>
        <w:pStyle w:val="6"/>
        <w:spacing w:beforeAutospacing="0" w:afterAutospacing="0" w:line="360" w:lineRule="auto"/>
      </w:pPr>
      <w:r>
        <w:t> </w:t>
      </w:r>
    </w:p>
    <w:p w14:paraId="0CDA2874">
      <w:pPr>
        <w:pStyle w:val="6"/>
        <w:spacing w:beforeAutospacing="0" w:afterAutospacing="0" w:line="360" w:lineRule="auto"/>
      </w:pPr>
      <w:r>
        <w:t> </w:t>
      </w:r>
    </w:p>
    <w:p w14:paraId="47116EC7">
      <w:pPr>
        <w:pStyle w:val="6"/>
        <w:spacing w:before="120" w:beforeAutospacing="0" w:after="120" w:afterAutospacing="0" w:line="360" w:lineRule="auto"/>
        <w:jc w:val="center"/>
        <w:rPr>
          <w:rFonts w:ascii="Arial" w:hAnsi="Arial" w:cs="Arial"/>
          <w:b/>
          <w:color w:val="000000"/>
          <w:sz w:val="32"/>
          <w:szCs w:val="32"/>
          <w:highlight w:val="none"/>
        </w:rPr>
      </w:pPr>
      <w:r>
        <w:rPr>
          <w:rFonts w:hint="eastAsia" w:ascii="Arial" w:hAnsi="Arial" w:cs="Arial"/>
          <w:b/>
          <w:color w:val="000000"/>
          <w:sz w:val="32"/>
          <w:szCs w:val="32"/>
          <w:highlight w:val="none"/>
        </w:rPr>
        <w:t>采购单位</w:t>
      </w:r>
    </w:p>
    <w:p w14:paraId="4AEA86D7">
      <w:pPr>
        <w:pStyle w:val="6"/>
        <w:spacing w:before="120" w:beforeAutospacing="0" w:after="120" w:afterAutospacing="0" w:line="360" w:lineRule="auto"/>
        <w:jc w:val="center"/>
      </w:pPr>
      <w:r>
        <w:rPr>
          <w:rFonts w:ascii="Arial" w:hAnsi="Arial" w:cs="Arial"/>
          <w:b/>
          <w:color w:val="000000"/>
          <w:sz w:val="32"/>
          <w:szCs w:val="32"/>
        </w:rPr>
        <w:t>____年___月___日</w:t>
      </w:r>
    </w:p>
    <w:p w14:paraId="4420408A">
      <w:pPr>
        <w:pStyle w:val="6"/>
        <w:spacing w:before="120" w:beforeAutospacing="0" w:after="120" w:afterAutospacing="0" w:line="360" w:lineRule="auto"/>
      </w:pPr>
      <w:r>
        <w:rPr>
          <w:rFonts w:ascii="Arial" w:hAnsi="Arial" w:cs="Arial"/>
          <w:color w:val="000000"/>
        </w:rPr>
        <w:t xml:space="preserve">                        </w:t>
      </w:r>
    </w:p>
    <w:p w14:paraId="7054454F">
      <w:pPr>
        <w:pStyle w:val="6"/>
        <w:spacing w:before="120" w:beforeAutospacing="0" w:after="120" w:afterAutospacing="0" w:line="360" w:lineRule="auto"/>
        <w:jc w:val="center"/>
      </w:pPr>
      <w:r>
        <w:t> </w:t>
      </w:r>
    </w:p>
    <w:p w14:paraId="646F4CA5">
      <w:pPr>
        <w:pStyle w:val="6"/>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20823272"/>
      <w:bookmarkStart w:id="1" w:name="_Toc120614210"/>
      <w:bookmarkStart w:id="2" w:name="_Toc16938516"/>
      <w:bookmarkStart w:id="3" w:name="_Toc479757206"/>
      <w:bookmarkStart w:id="4" w:name="_Toc513029200"/>
      <w:bookmarkStart w:id="5" w:name="_Toc523127445"/>
      <w:r>
        <w:rPr>
          <w:rFonts w:ascii="黑体" w:hAnsi="宋体" w:eastAsia="黑体" w:cs="黑体"/>
          <w:b/>
          <w:color w:val="000000"/>
          <w:sz w:val="44"/>
          <w:szCs w:val="44"/>
        </w:rPr>
        <w:t>总  目  录</w:t>
      </w:r>
      <w:bookmarkEnd w:id="0"/>
      <w:bookmarkEnd w:id="1"/>
      <w:bookmarkEnd w:id="2"/>
      <w:bookmarkEnd w:id="3"/>
      <w:bookmarkEnd w:id="4"/>
      <w:bookmarkEnd w:id="5"/>
    </w:p>
    <w:p w14:paraId="1CFE7006">
      <w:pPr>
        <w:pStyle w:val="6"/>
        <w:spacing w:beforeAutospacing="0" w:afterAutospacing="0" w:line="480" w:lineRule="auto"/>
        <w:jc w:val="both"/>
      </w:pPr>
      <w:r>
        <w:t> </w:t>
      </w:r>
    </w:p>
    <w:p w14:paraId="57B8D300">
      <w:pPr>
        <w:pStyle w:val="6"/>
        <w:tabs>
          <w:tab w:val="left" w:pos="1441"/>
        </w:tabs>
        <w:spacing w:beforeAutospacing="0" w:afterAutospacing="0" w:line="480" w:lineRule="auto"/>
        <w:ind w:left="2160" w:hanging="1440"/>
        <w:jc w:val="both"/>
        <w:rPr>
          <w:rFonts w:hint="eastAsia" w:eastAsia="黑体"/>
          <w:lang w:val="en-US" w:eastAsia="zh-CN"/>
        </w:rPr>
      </w:pPr>
      <w:r>
        <w:rPr>
          <w:rFonts w:hint="eastAsia" w:ascii="黑体" w:hAnsi="宋体" w:eastAsia="黑体" w:cs="黑体"/>
          <w:color w:val="000000"/>
          <w:sz w:val="36"/>
          <w:szCs w:val="36"/>
          <w:lang w:val="en-US" w:eastAsia="zh-CN"/>
        </w:rPr>
        <w:t>竞争性</w:t>
      </w:r>
      <w:r>
        <w:rPr>
          <w:rFonts w:hint="eastAsia" w:ascii="黑体" w:hAnsi="宋体" w:eastAsia="黑体" w:cs="黑体"/>
          <w:color w:val="000000"/>
          <w:sz w:val="36"/>
          <w:szCs w:val="36"/>
        </w:rPr>
        <w:t>谈判</w:t>
      </w:r>
      <w:r>
        <w:rPr>
          <w:rFonts w:hint="eastAsia" w:ascii="黑体" w:hAnsi="宋体" w:eastAsia="黑体" w:cs="黑体"/>
          <w:color w:val="000000"/>
          <w:sz w:val="36"/>
          <w:szCs w:val="36"/>
          <w:lang w:val="en-US" w:eastAsia="zh-CN"/>
        </w:rPr>
        <w:t>公告</w:t>
      </w:r>
      <w:r>
        <w:rPr>
          <w:rFonts w:hint="eastAsia" w:ascii="黑体" w:hAnsi="宋体" w:eastAsia="黑体" w:cs="黑体"/>
          <w:color w:val="000000"/>
          <w:sz w:val="36"/>
          <w:szCs w:val="36"/>
        </w:rPr>
        <w:t>……………………………</w:t>
      </w:r>
      <w:r>
        <w:rPr>
          <w:rFonts w:hint="eastAsia" w:ascii="黑体" w:hAnsi="宋体" w:eastAsia="黑体" w:cs="黑体"/>
          <w:color w:val="000000"/>
          <w:sz w:val="36"/>
          <w:szCs w:val="36"/>
          <w:lang w:val="en-US" w:eastAsia="zh-CN"/>
        </w:rPr>
        <w:t xml:space="preserve"> </w:t>
      </w:r>
    </w:p>
    <w:p w14:paraId="0E655AAD">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32D6836E">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61A7B976">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10024E20">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5E1E5DFA">
      <w:pPr>
        <w:pStyle w:val="6"/>
        <w:spacing w:beforeAutospacing="0" w:afterAutospacing="0"/>
        <w:jc w:val="both"/>
      </w:pPr>
      <w:r>
        <w:t> </w:t>
      </w:r>
    </w:p>
    <w:p w14:paraId="1583FA9F">
      <w:pPr>
        <w:pStyle w:val="6"/>
        <w:spacing w:beforeAutospacing="0" w:afterAutospacing="0"/>
        <w:jc w:val="both"/>
      </w:pPr>
      <w:r>
        <w:t> </w:t>
      </w:r>
    </w:p>
    <w:p w14:paraId="5CC800A1">
      <w:pPr>
        <w:pStyle w:val="6"/>
        <w:spacing w:beforeAutospacing="0" w:afterAutospacing="0"/>
        <w:jc w:val="both"/>
      </w:pPr>
      <w:r>
        <w:t> </w:t>
      </w:r>
    </w:p>
    <w:p w14:paraId="67C0C2FA">
      <w:pPr>
        <w:pStyle w:val="6"/>
        <w:spacing w:beforeAutospacing="0" w:afterAutospacing="0"/>
        <w:jc w:val="both"/>
      </w:pPr>
      <w:r>
        <w:t> </w:t>
      </w:r>
    </w:p>
    <w:p w14:paraId="4EB9F2CD">
      <w:pPr>
        <w:pStyle w:val="6"/>
        <w:spacing w:beforeAutospacing="0" w:afterAutospacing="0"/>
        <w:jc w:val="both"/>
      </w:pPr>
      <w:r>
        <w:t> </w:t>
      </w:r>
    </w:p>
    <w:p w14:paraId="7EE64F9F">
      <w:pPr>
        <w:pStyle w:val="6"/>
        <w:spacing w:beforeAutospacing="0" w:afterAutospacing="0"/>
        <w:jc w:val="both"/>
      </w:pPr>
      <w:r>
        <w:t> </w:t>
      </w:r>
    </w:p>
    <w:p w14:paraId="2C437231">
      <w:pPr>
        <w:pStyle w:val="6"/>
        <w:spacing w:beforeAutospacing="0" w:afterAutospacing="0"/>
        <w:jc w:val="both"/>
      </w:pPr>
      <w:r>
        <w:t> </w:t>
      </w:r>
    </w:p>
    <w:p w14:paraId="68F96CE8">
      <w:pPr>
        <w:pStyle w:val="6"/>
        <w:spacing w:beforeAutospacing="0" w:afterAutospacing="0"/>
        <w:jc w:val="both"/>
      </w:pPr>
      <w:r>
        <w:t> </w:t>
      </w:r>
    </w:p>
    <w:p w14:paraId="4CA7C13B">
      <w:pPr>
        <w:pStyle w:val="6"/>
        <w:spacing w:beforeAutospacing="0" w:afterAutospacing="0"/>
        <w:jc w:val="both"/>
      </w:pPr>
      <w:r>
        <w:t> </w:t>
      </w:r>
    </w:p>
    <w:p w14:paraId="7FEBF9CF">
      <w:pPr>
        <w:pStyle w:val="6"/>
        <w:spacing w:beforeAutospacing="0" w:afterAutospacing="0"/>
        <w:jc w:val="both"/>
      </w:pPr>
      <w:r>
        <w:t> </w:t>
      </w:r>
    </w:p>
    <w:p w14:paraId="744B7DCB">
      <w:pPr>
        <w:pStyle w:val="6"/>
        <w:spacing w:beforeAutospacing="0" w:afterAutospacing="0"/>
        <w:jc w:val="both"/>
      </w:pPr>
      <w:r>
        <w:t> </w:t>
      </w:r>
    </w:p>
    <w:p w14:paraId="07809E40">
      <w:pPr>
        <w:pStyle w:val="6"/>
        <w:spacing w:beforeAutospacing="0" w:afterAutospacing="0"/>
        <w:jc w:val="both"/>
      </w:pPr>
      <w:r>
        <w:t> </w:t>
      </w:r>
    </w:p>
    <w:p w14:paraId="2A8FF720">
      <w:pPr>
        <w:pStyle w:val="6"/>
        <w:spacing w:beforeAutospacing="0" w:afterAutospacing="0"/>
        <w:jc w:val="both"/>
      </w:pPr>
      <w:r>
        <w:t> </w:t>
      </w:r>
    </w:p>
    <w:p w14:paraId="46D9A94A">
      <w:pPr>
        <w:pStyle w:val="6"/>
        <w:spacing w:beforeAutospacing="0" w:afterAutospacing="0"/>
        <w:jc w:val="both"/>
      </w:pPr>
      <w:r>
        <w:t> </w:t>
      </w:r>
    </w:p>
    <w:p w14:paraId="21143444">
      <w:pPr>
        <w:pStyle w:val="6"/>
        <w:spacing w:beforeAutospacing="0" w:afterAutospacing="0"/>
        <w:jc w:val="both"/>
      </w:pPr>
      <w:r>
        <w:t> </w:t>
      </w:r>
    </w:p>
    <w:p w14:paraId="5FC9E85A">
      <w:pPr>
        <w:pStyle w:val="6"/>
        <w:spacing w:beforeAutospacing="0" w:afterAutospacing="0"/>
        <w:jc w:val="both"/>
      </w:pPr>
      <w:r>
        <w:t> </w:t>
      </w:r>
    </w:p>
    <w:p w14:paraId="3F8C161C">
      <w:pPr>
        <w:pStyle w:val="6"/>
        <w:spacing w:beforeAutospacing="0" w:afterAutospacing="0"/>
        <w:jc w:val="both"/>
      </w:pPr>
      <w:r>
        <w:t> </w:t>
      </w:r>
    </w:p>
    <w:p w14:paraId="13CA485D">
      <w:pPr>
        <w:pStyle w:val="6"/>
        <w:spacing w:beforeAutospacing="0" w:afterAutospacing="0"/>
        <w:jc w:val="both"/>
      </w:pPr>
      <w:r>
        <w:t> </w:t>
      </w:r>
    </w:p>
    <w:p w14:paraId="14E1277A">
      <w:pPr>
        <w:pStyle w:val="6"/>
        <w:spacing w:beforeAutospacing="0" w:afterAutospacing="0"/>
        <w:jc w:val="both"/>
      </w:pPr>
      <w:r>
        <w:t> </w:t>
      </w:r>
    </w:p>
    <w:p w14:paraId="2A80939D">
      <w:pPr>
        <w:pStyle w:val="6"/>
        <w:spacing w:beforeAutospacing="0" w:afterAutospacing="0"/>
        <w:jc w:val="both"/>
      </w:pPr>
      <w:r>
        <w:t> </w:t>
      </w:r>
    </w:p>
    <w:p w14:paraId="3E54028F">
      <w:pPr>
        <w:pStyle w:val="6"/>
        <w:spacing w:beforeAutospacing="0" w:afterAutospacing="0"/>
        <w:jc w:val="both"/>
      </w:pPr>
      <w:r>
        <w:t> </w:t>
      </w:r>
    </w:p>
    <w:p w14:paraId="22C5911E">
      <w:pPr>
        <w:pStyle w:val="6"/>
        <w:spacing w:beforeAutospacing="0" w:afterAutospacing="0"/>
        <w:jc w:val="both"/>
      </w:pPr>
      <w:r>
        <w:t> </w:t>
      </w:r>
    </w:p>
    <w:p w14:paraId="402B06D5">
      <w:pPr>
        <w:pStyle w:val="6"/>
        <w:spacing w:beforeAutospacing="0" w:afterAutospacing="0"/>
        <w:jc w:val="both"/>
      </w:pPr>
      <w:r>
        <w:t> </w:t>
      </w:r>
    </w:p>
    <w:p w14:paraId="645C13C4">
      <w:pPr>
        <w:pStyle w:val="6"/>
        <w:spacing w:beforeAutospacing="0" w:afterAutospacing="0"/>
        <w:jc w:val="both"/>
      </w:pPr>
      <w:r>
        <w:t> </w:t>
      </w:r>
    </w:p>
    <w:p w14:paraId="5D3CB83C">
      <w:pPr>
        <w:pStyle w:val="6"/>
        <w:spacing w:beforeAutospacing="0" w:afterAutospacing="0"/>
        <w:jc w:val="both"/>
      </w:pPr>
      <w:r>
        <w:t> </w:t>
      </w:r>
    </w:p>
    <w:p w14:paraId="46CE7D1D">
      <w:pPr>
        <w:pStyle w:val="6"/>
        <w:spacing w:beforeAutospacing="0" w:afterAutospacing="0"/>
        <w:jc w:val="both"/>
      </w:pPr>
      <w:r>
        <w:t> </w:t>
      </w:r>
    </w:p>
    <w:p w14:paraId="3043B184">
      <w:pPr>
        <w:pStyle w:val="6"/>
        <w:spacing w:beforeAutospacing="0" w:afterAutospacing="0"/>
        <w:jc w:val="both"/>
      </w:pPr>
      <w:r>
        <w:t> </w:t>
      </w:r>
    </w:p>
    <w:p w14:paraId="6E91C791">
      <w:pPr>
        <w:pStyle w:val="6"/>
        <w:spacing w:beforeAutospacing="0" w:afterAutospacing="0"/>
        <w:jc w:val="both"/>
      </w:pPr>
      <w:r>
        <w:t> </w:t>
      </w:r>
    </w:p>
    <w:p w14:paraId="0AF8EAA3">
      <w:pPr>
        <w:pStyle w:val="6"/>
        <w:spacing w:beforeAutospacing="0" w:afterAutospacing="0"/>
        <w:jc w:val="both"/>
      </w:pPr>
      <w:r>
        <w:t> </w:t>
      </w:r>
    </w:p>
    <w:p w14:paraId="77616B3E">
      <w:pPr>
        <w:pStyle w:val="6"/>
        <w:keepNext/>
        <w:spacing w:beforeAutospacing="0" w:afterAutospacing="0"/>
        <w:jc w:val="center"/>
      </w:pPr>
      <w:r>
        <w:t> </w:t>
      </w:r>
    </w:p>
    <w:p w14:paraId="49DF3383">
      <w:pPr>
        <w:pStyle w:val="6"/>
        <w:keepNext/>
        <w:spacing w:beforeAutospacing="0" w:afterAutospacing="0"/>
        <w:jc w:val="center"/>
        <w:rPr>
          <w:rFonts w:hint="eastAsia" w:ascii="仿宋" w:hAnsi="仿宋" w:eastAsia="仿宋" w:cs="仿宋"/>
          <w:sz w:val="28"/>
          <w:szCs w:val="28"/>
          <w:lang w:val="en-US" w:eastAsia="zh-CN"/>
        </w:rPr>
      </w:pPr>
      <w:r>
        <w:rPr>
          <w:rFonts w:hint="eastAsia" w:ascii="黑体" w:hAnsi="宋体" w:eastAsia="黑体" w:cs="黑体"/>
          <w:color w:val="000000"/>
          <w:sz w:val="44"/>
          <w:szCs w:val="44"/>
        </w:rPr>
        <w:t xml:space="preserve">第一章  </w:t>
      </w:r>
      <w:r>
        <w:rPr>
          <w:rFonts w:hint="eastAsia" w:ascii="黑体" w:hAnsi="宋体" w:eastAsia="黑体" w:cs="黑体"/>
          <w:color w:val="000000"/>
          <w:sz w:val="44"/>
          <w:szCs w:val="44"/>
          <w:lang w:val="en-US" w:eastAsia="zh-CN"/>
        </w:rPr>
        <w:t>竞争性</w:t>
      </w:r>
      <w:r>
        <w:rPr>
          <w:rFonts w:hint="eastAsia" w:ascii="黑体" w:hAnsi="宋体" w:eastAsia="黑体" w:cs="黑体"/>
          <w:color w:val="000000"/>
          <w:sz w:val="44"/>
          <w:szCs w:val="44"/>
        </w:rPr>
        <w:t>谈判</w:t>
      </w:r>
      <w:r>
        <w:rPr>
          <w:rFonts w:hint="eastAsia" w:ascii="黑体" w:hAnsi="宋体" w:eastAsia="黑体" w:cs="黑体"/>
          <w:color w:val="000000"/>
          <w:sz w:val="44"/>
          <w:szCs w:val="44"/>
          <w:lang w:val="en-US" w:eastAsia="zh-CN"/>
        </w:rPr>
        <w:t>公告</w:t>
      </w:r>
      <w:bookmarkStart w:id="6" w:name="_Toc28359086"/>
    </w:p>
    <w:p w14:paraId="5432A119">
      <w:pPr>
        <w:pStyle w:val="6"/>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183FCE66">
      <w:pPr>
        <w:pStyle w:val="6"/>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lang w:val="en-US" w:eastAsia="zh-CN"/>
        </w:rPr>
        <w:t>采购</w:t>
      </w:r>
      <w:r>
        <w:rPr>
          <w:rFonts w:hint="eastAsia" w:ascii="仿宋" w:hAnsi="仿宋" w:eastAsia="仿宋" w:cs="仿宋"/>
          <w:color w:val="000000"/>
          <w:sz w:val="28"/>
          <w:szCs w:val="28"/>
        </w:rPr>
        <w:t>项目的潜在供应商</w:t>
      </w:r>
      <w:r>
        <w:rPr>
          <w:rFonts w:hint="eastAsia" w:ascii="仿宋" w:hAnsi="仿宋" w:eastAsia="仿宋" w:cs="仿宋"/>
          <w:color w:val="000000"/>
          <w:sz w:val="28"/>
          <w:szCs w:val="28"/>
          <w:lang w:val="en-US" w:eastAsia="zh-CN"/>
        </w:rPr>
        <w:t>应</w:t>
      </w:r>
      <w:r>
        <w:rPr>
          <w:rFonts w:hint="eastAsia" w:ascii="仿宋" w:hAnsi="仿宋" w:eastAsia="仿宋" w:cs="仿宋"/>
          <w:color w:val="000000"/>
          <w:sz w:val="28"/>
          <w:szCs w:val="28"/>
        </w:rPr>
        <w:t>在</w:t>
      </w:r>
      <w:r>
        <w:rPr>
          <w:rFonts w:ascii="仿宋" w:hAnsi="仿宋" w:eastAsia="仿宋" w:cs="仿宋"/>
          <w:i w:val="0"/>
          <w:iCs w:val="0"/>
          <w:caps w:val="0"/>
          <w:color w:val="333333"/>
          <w:spacing w:val="0"/>
          <w:sz w:val="28"/>
          <w:szCs w:val="28"/>
          <w:bdr w:val="none" w:color="auto" w:sz="0" w:space="0"/>
          <w:shd w:val="clear" w:fill="FFFFFF"/>
        </w:rPr>
        <w:t>“苏采云”系统内免费下载（投标人必须在苏采云系统中获取采购文件，方能参与政府采购项目）</w:t>
      </w:r>
      <w:bookmarkStart w:id="187" w:name="_GoBack"/>
      <w:bookmarkEnd w:id="187"/>
      <w:r>
        <w:rPr>
          <w:rFonts w:hint="eastAsia" w:ascii="仿宋" w:hAnsi="仿宋" w:eastAsia="仿宋" w:cs="仿宋"/>
          <w:color w:val="000000"/>
          <w:sz w:val="28"/>
          <w:szCs w:val="28"/>
        </w:rPr>
        <w:t>，并于</w:t>
      </w:r>
      <w:r>
        <w:rPr>
          <w:rFonts w:hint="eastAsia" w:ascii="仿宋" w:hAnsi="仿宋" w:eastAsia="仿宋" w:cs="仿宋"/>
          <w:b w:val="0"/>
          <w:bCs w:val="0"/>
          <w:color w:val="000000"/>
          <w:sz w:val="28"/>
          <w:szCs w:val="28"/>
          <w:u w:val="single"/>
        </w:rPr>
        <w:t> </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北京时间）前递交响应文件。</w:t>
      </w:r>
    </w:p>
    <w:p w14:paraId="2B1BCAE6">
      <w:pPr>
        <w:pStyle w:val="6"/>
        <w:keepNext/>
        <w:keepLines/>
        <w:spacing w:before="145" w:beforeAutospacing="0" w:after="145" w:afterAutospacing="0" w:line="360" w:lineRule="auto"/>
        <w:ind w:firstLine="498"/>
        <w:jc w:val="both"/>
        <w:rPr>
          <w:rFonts w:hint="eastAsia" w:ascii="仿宋" w:hAnsi="仿宋" w:eastAsia="仿宋" w:cs="仿宋"/>
          <w:sz w:val="28"/>
          <w:szCs w:val="28"/>
        </w:rPr>
      </w:pPr>
      <w:bookmarkStart w:id="7" w:name="_Toc28359002"/>
      <w:bookmarkStart w:id="8" w:name="_Hlk24379207"/>
      <w:bookmarkStart w:id="9" w:name="_Toc35393621"/>
      <w:bookmarkStart w:id="10" w:name="_Toc28359079"/>
      <w:bookmarkStart w:id="11" w:name="_Toc35393790"/>
      <w:bookmarkStart w:id="12" w:name="_Toc38985263"/>
      <w:r>
        <w:rPr>
          <w:rFonts w:hint="eastAsia" w:ascii="仿宋" w:hAnsi="仿宋" w:eastAsia="仿宋" w:cs="仿宋"/>
          <w:b/>
          <w:color w:val="000000"/>
          <w:sz w:val="28"/>
          <w:szCs w:val="28"/>
        </w:rPr>
        <w:t>一、项目基本情况</w:t>
      </w:r>
      <w:bookmarkEnd w:id="7"/>
      <w:bookmarkEnd w:id="8"/>
      <w:bookmarkEnd w:id="9"/>
      <w:bookmarkEnd w:id="10"/>
      <w:bookmarkEnd w:id="11"/>
      <w:bookmarkEnd w:id="12"/>
    </w:p>
    <w:p w14:paraId="0A8F807F">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1.项目编号：</w:t>
      </w:r>
    </w:p>
    <w:p w14:paraId="6A3BD46A">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2A731819">
      <w:pPr>
        <w:pStyle w:val="6"/>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eastAsia="zh-CN"/>
        </w:rPr>
        <w:t>：</w:t>
      </w:r>
      <w:r>
        <w:rPr>
          <w:rFonts w:hint="eastAsia" w:ascii="仿宋" w:hAnsi="仿宋" w:eastAsia="仿宋" w:cs="仿宋"/>
          <w:i w:val="0"/>
          <w:iCs w:val="0"/>
          <w:caps w:val="0"/>
          <w:color w:val="333333"/>
          <w:spacing w:val="0"/>
          <w:sz w:val="28"/>
          <w:szCs w:val="28"/>
          <w:shd w:val="clear" w:fill="FFFFFF"/>
        </w:rPr>
        <w:t xml:space="preserve">竞争性谈判 </w:t>
      </w:r>
    </w:p>
    <w:p w14:paraId="099BC3B2">
      <w:pPr>
        <w:pStyle w:val="6"/>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4C343D1F">
      <w:pPr>
        <w:pStyle w:val="6"/>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548EC51D">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谈判</w:t>
      </w:r>
      <w:r>
        <w:rPr>
          <w:rFonts w:hint="eastAsia" w:ascii="仿宋" w:hAnsi="仿宋" w:eastAsia="仿宋" w:cs="仿宋"/>
          <w:color w:val="000000"/>
          <w:sz w:val="28"/>
          <w:szCs w:val="28"/>
        </w:rPr>
        <w:t>文件第四章）</w:t>
      </w:r>
    </w:p>
    <w:p w14:paraId="52639F2F">
      <w:pPr>
        <w:pStyle w:val="6"/>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3BBB30BA">
      <w:pPr>
        <w:pStyle w:val="6"/>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8.本项目（是/否）接受联合体参与谈判,联合体中所有成员数量不得超过*****名。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谈判</w:t>
      </w:r>
      <w:r>
        <w:rPr>
          <w:rFonts w:hint="eastAsia" w:ascii="仿宋" w:hAnsi="仿宋" w:eastAsia="仿宋" w:cs="仿宋"/>
          <w:color w:val="000000"/>
          <w:sz w:val="28"/>
          <w:szCs w:val="28"/>
          <w:shd w:val="clear" w:color="auto" w:fill="FFFF00"/>
        </w:rPr>
        <w:t>及每个分包中成员数量。确定后该备注删除）</w:t>
      </w:r>
    </w:p>
    <w:p w14:paraId="05B16105">
      <w:pPr>
        <w:pStyle w:val="6"/>
        <w:keepNext/>
        <w:keepLines/>
        <w:spacing w:before="145" w:beforeAutospacing="0" w:after="145" w:afterAutospacing="0" w:line="360" w:lineRule="auto"/>
        <w:ind w:firstLine="498"/>
        <w:jc w:val="both"/>
        <w:rPr>
          <w:rFonts w:hint="eastAsia" w:ascii="仿宋" w:hAnsi="仿宋" w:eastAsia="仿宋" w:cs="仿宋"/>
          <w:sz w:val="28"/>
          <w:szCs w:val="28"/>
        </w:rPr>
      </w:pPr>
      <w:bookmarkStart w:id="13" w:name="_Toc38985264"/>
      <w:bookmarkStart w:id="14" w:name="_Toc28359080"/>
      <w:bookmarkStart w:id="15" w:name="_Toc35393791"/>
      <w:bookmarkStart w:id="16" w:name="_Toc28359003"/>
      <w:bookmarkStart w:id="17" w:name="_Toc35393622"/>
      <w:r>
        <w:rPr>
          <w:rFonts w:hint="eastAsia" w:ascii="仿宋" w:hAnsi="仿宋" w:eastAsia="仿宋" w:cs="仿宋"/>
          <w:b/>
          <w:color w:val="000000"/>
          <w:sz w:val="28"/>
          <w:szCs w:val="28"/>
        </w:rPr>
        <w:t>二、申请人的资格要求：</w:t>
      </w:r>
      <w:bookmarkEnd w:id="13"/>
      <w:bookmarkEnd w:id="14"/>
      <w:bookmarkEnd w:id="15"/>
      <w:bookmarkEnd w:id="16"/>
      <w:bookmarkEnd w:id="17"/>
    </w:p>
    <w:p w14:paraId="65C69637">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6189A8B4">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7E74FB75">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1.2上一年度的财务状况</w:t>
      </w:r>
      <w:r>
        <w:rPr>
          <w:rFonts w:hint="eastAsia" w:ascii="仿宋" w:hAnsi="仿宋" w:eastAsia="仿宋" w:cs="仿宋"/>
          <w:color w:val="000000"/>
          <w:sz w:val="28"/>
          <w:szCs w:val="28"/>
          <w:highlight w:val="none"/>
        </w:rPr>
        <w:t>报表（成</w:t>
      </w:r>
      <w:r>
        <w:rPr>
          <w:rFonts w:hint="eastAsia" w:ascii="仿宋" w:hAnsi="仿宋" w:eastAsia="仿宋" w:cs="仿宋"/>
          <w:color w:val="000000"/>
          <w:sz w:val="28"/>
          <w:szCs w:val="28"/>
        </w:rPr>
        <w:t>立不满一年无需提供）；</w:t>
      </w:r>
    </w:p>
    <w:p w14:paraId="22B00BF3">
      <w:pPr>
        <w:pStyle w:val="6"/>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160D4975">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443CA527">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1F526FFD">
      <w:pPr>
        <w:pStyle w:val="6"/>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23874F71">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48EA23F3">
      <w:pPr>
        <w:pStyle w:val="6"/>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03E92D28">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72D35AD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343FDBAB">
      <w:pPr>
        <w:pStyle w:val="6"/>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谈判</w:t>
      </w:r>
      <w:r>
        <w:rPr>
          <w:rFonts w:hint="eastAsia" w:ascii="仿宋" w:hAnsi="仿宋" w:eastAsia="仿宋" w:cs="仿宋"/>
          <w:b/>
          <w:color w:val="000000"/>
          <w:sz w:val="28"/>
          <w:szCs w:val="28"/>
        </w:rPr>
        <w:t>文件</w:t>
      </w:r>
    </w:p>
    <w:p w14:paraId="5BF8724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bookmarkStart w:id="18" w:name="_Toc38985266"/>
      <w:bookmarkStart w:id="19" w:name="_Toc35393793"/>
      <w:bookmarkStart w:id="20" w:name="_Toc28359005"/>
      <w:bookmarkStart w:id="21" w:name="_Toc35393624"/>
      <w:bookmarkStart w:id="22" w:name="_Toc28359082"/>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iCs/>
          <w:caps w:val="0"/>
          <w:color w:val="333333"/>
          <w:spacing w:val="0"/>
          <w:sz w:val="28"/>
          <w:szCs w:val="28"/>
          <w:u w:val="single"/>
          <w:shd w:val="clear" w:fill="FFFFFF"/>
          <w:lang w:val="en-US" w:eastAsia="zh-CN"/>
        </w:rPr>
        <w:t>谈判</w:t>
      </w:r>
      <w:r>
        <w:rPr>
          <w:rFonts w:hint="eastAsia" w:ascii="仿宋" w:hAnsi="仿宋" w:eastAsia="仿宋" w:cs="仿宋"/>
          <w:i/>
          <w:iCs/>
          <w:caps w:val="0"/>
          <w:color w:val="333333"/>
          <w:spacing w:val="0"/>
          <w:sz w:val="28"/>
          <w:szCs w:val="28"/>
          <w:u w:val="single"/>
          <w:shd w:val="clear" w:fill="FFFFFF"/>
        </w:rPr>
        <w:t>文件的发售期限自开始之日起不得少于</w:t>
      </w:r>
      <w:r>
        <w:rPr>
          <w:rFonts w:hint="eastAsia" w:ascii="仿宋" w:hAnsi="仿宋" w:eastAsia="仿宋" w:cs="仿宋"/>
          <w:i/>
          <w:iCs/>
          <w:caps w:val="0"/>
          <w:color w:val="333333"/>
          <w:spacing w:val="0"/>
          <w:sz w:val="28"/>
          <w:szCs w:val="28"/>
          <w:u w:val="single"/>
          <w:shd w:val="clear" w:fill="FFFFFF"/>
          <w:lang w:val="en-US" w:eastAsia="zh-CN"/>
        </w:rPr>
        <w:t>3</w:t>
      </w:r>
      <w:r>
        <w:rPr>
          <w:rFonts w:hint="eastAsia" w:ascii="仿宋" w:hAnsi="仿宋" w:eastAsia="仿宋" w:cs="仿宋"/>
          <w:i/>
          <w:iCs/>
          <w:caps w:val="0"/>
          <w:color w:val="333333"/>
          <w:spacing w:val="0"/>
          <w:sz w:val="28"/>
          <w:szCs w:val="28"/>
          <w:u w:val="single"/>
          <w:shd w:val="clear" w:fill="FFFFFF"/>
        </w:rPr>
        <w:t>个工作日</w:t>
      </w:r>
      <w:r>
        <w:rPr>
          <w:rFonts w:hint="eastAsia" w:ascii="仿宋" w:hAnsi="仿宋" w:eastAsia="仿宋" w:cs="仿宋"/>
          <w:i w:val="0"/>
          <w:iCs w:val="0"/>
          <w:caps w:val="0"/>
          <w:color w:val="333333"/>
          <w:spacing w:val="0"/>
          <w:sz w:val="28"/>
          <w:szCs w:val="28"/>
          <w:u w:val="single"/>
          <w:shd w:val="clear" w:fill="FFFFFF"/>
        </w:rPr>
        <w:t>）</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bookmarkEnd w:id="18"/>
      <w:bookmarkEnd w:id="19"/>
      <w:bookmarkEnd w:id="20"/>
      <w:bookmarkEnd w:id="21"/>
      <w:bookmarkEnd w:id="22"/>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4541AA11">
      <w:pPr>
        <w:pStyle w:val="6"/>
        <w:spacing w:beforeAutospacing="0" w:afterAutospacing="0" w:line="360" w:lineRule="auto"/>
        <w:ind w:firstLine="540"/>
        <w:jc w:val="both"/>
        <w:rPr>
          <w:rFonts w:hint="eastAsia" w:ascii="仿宋" w:hAnsi="仿宋" w:eastAsia="仿宋" w:cs="仿宋"/>
          <w:color w:val="000000"/>
          <w:sz w:val="28"/>
          <w:szCs w:val="28"/>
          <w:highlight w:val="none"/>
        </w:rPr>
      </w:pPr>
    </w:p>
    <w:p w14:paraId="1E137E95">
      <w:pPr>
        <w:widowControl/>
        <w:spacing w:line="560" w:lineRule="exact"/>
        <w:ind w:firstLine="480"/>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4.售价：0元</w:t>
      </w:r>
    </w:p>
    <w:p w14:paraId="22604748">
      <w:pPr>
        <w:pStyle w:val="6"/>
        <w:keepNext/>
        <w:keepLines/>
        <w:spacing w:before="145" w:beforeAutospacing="0" w:after="145" w:afterAutospacing="0" w:line="360" w:lineRule="auto"/>
        <w:ind w:firstLine="498"/>
        <w:jc w:val="both"/>
        <w:rPr>
          <w:rFonts w:hint="eastAsia" w:ascii="仿宋" w:hAnsi="仿宋" w:eastAsia="仿宋" w:cs="仿宋"/>
          <w:sz w:val="28"/>
          <w:szCs w:val="28"/>
          <w:lang w:eastAsia="zh-CN"/>
        </w:rPr>
      </w:pPr>
      <w:r>
        <w:rPr>
          <w:rFonts w:hint="eastAsia" w:ascii="仿宋" w:hAnsi="仿宋" w:eastAsia="仿宋" w:cs="仿宋"/>
          <w:b/>
          <w:color w:val="000000"/>
          <w:sz w:val="28"/>
          <w:szCs w:val="28"/>
        </w:rPr>
        <w:t>四、响应文件</w:t>
      </w:r>
      <w:r>
        <w:rPr>
          <w:rFonts w:hint="eastAsia" w:ascii="仿宋" w:hAnsi="仿宋" w:eastAsia="仿宋" w:cs="仿宋"/>
          <w:b/>
          <w:color w:val="000000"/>
          <w:sz w:val="28"/>
          <w:szCs w:val="28"/>
          <w:lang w:val="en-US" w:eastAsia="zh-CN"/>
        </w:rPr>
        <w:t>提交</w:t>
      </w:r>
    </w:p>
    <w:p w14:paraId="53DA11B6">
      <w:pPr>
        <w:pStyle w:val="6"/>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w:t>
      </w:r>
      <w:r>
        <w:rPr>
          <w:rFonts w:hint="eastAsia" w:ascii="仿宋" w:hAnsi="仿宋" w:eastAsia="仿宋" w:cs="仿宋"/>
          <w:color w:val="000000"/>
          <w:sz w:val="28"/>
          <w:szCs w:val="28"/>
          <w:shd w:val="clear" w:color="auto" w:fill="FFFF00"/>
          <w:lang w:val="en-US" w:eastAsia="zh-CN"/>
        </w:rPr>
        <w:t>谈判</w:t>
      </w:r>
      <w:r>
        <w:rPr>
          <w:rFonts w:hint="eastAsia" w:ascii="仿宋" w:hAnsi="仿宋" w:eastAsia="仿宋" w:cs="仿宋"/>
          <w:color w:val="000000"/>
          <w:sz w:val="28"/>
          <w:szCs w:val="28"/>
          <w:shd w:val="clear" w:color="auto" w:fill="FFFF00"/>
        </w:rPr>
        <w:t>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起至供应商提交响应文件截止之日止，不得少于</w:t>
      </w:r>
      <w:r>
        <w:rPr>
          <w:rFonts w:hint="eastAsia" w:ascii="仿宋" w:hAnsi="仿宋" w:eastAsia="仿宋" w:cs="仿宋"/>
          <w:color w:val="000000"/>
          <w:sz w:val="28"/>
          <w:szCs w:val="28"/>
          <w:shd w:val="clear" w:color="auto" w:fill="FFFF00"/>
          <w:lang w:val="en-US" w:eastAsia="zh-CN"/>
        </w:rPr>
        <w:t>3个工作日</w:t>
      </w:r>
      <w:r>
        <w:rPr>
          <w:rFonts w:hint="eastAsia" w:ascii="仿宋" w:hAnsi="仿宋" w:eastAsia="仿宋" w:cs="仿宋"/>
          <w:color w:val="000000"/>
          <w:sz w:val="28"/>
          <w:szCs w:val="28"/>
          <w:shd w:val="clear" w:color="auto" w:fill="FFFF00"/>
        </w:rPr>
        <w:t>。确定后该备注删除）</w:t>
      </w:r>
    </w:p>
    <w:p w14:paraId="14BDA059">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5192DB20">
      <w:pPr>
        <w:pStyle w:val="6"/>
        <w:keepNext/>
        <w:keepLines/>
        <w:spacing w:before="145" w:beforeAutospacing="0" w:after="145" w:afterAutospacing="0" w:line="360" w:lineRule="auto"/>
        <w:ind w:firstLine="498"/>
        <w:jc w:val="both"/>
        <w:rPr>
          <w:rFonts w:hint="eastAsia" w:ascii="仿宋" w:hAnsi="仿宋" w:eastAsia="仿宋" w:cs="仿宋"/>
          <w:b/>
          <w:color w:val="000000"/>
          <w:sz w:val="28"/>
          <w:szCs w:val="28"/>
        </w:rPr>
      </w:pPr>
      <w:bookmarkStart w:id="23" w:name="_Toc35393795"/>
      <w:bookmarkStart w:id="24" w:name="_Toc35393626"/>
      <w:bookmarkStart w:id="25" w:name="_Toc38985268"/>
      <w:r>
        <w:rPr>
          <w:rFonts w:hint="eastAsia" w:ascii="仿宋" w:hAnsi="仿宋" w:eastAsia="仿宋" w:cs="仿宋"/>
          <w:b/>
          <w:color w:val="000000"/>
          <w:sz w:val="28"/>
          <w:szCs w:val="28"/>
        </w:rPr>
        <w:t>五、开启</w:t>
      </w:r>
    </w:p>
    <w:p w14:paraId="1329C78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lang w:val="en-US" w:eastAsia="zh-CN"/>
        </w:rPr>
        <w:t>1.</w:t>
      </w:r>
      <w:r>
        <w:rPr>
          <w:rFonts w:hint="eastAsia" w:ascii="仿宋" w:hAnsi="仿宋" w:eastAsia="仿宋" w:cs="仿宋"/>
          <w:i w:val="0"/>
          <w:iCs w:val="0"/>
          <w:caps w:val="0"/>
          <w:color w:val="333333"/>
          <w:spacing w:val="0"/>
          <w:sz w:val="28"/>
          <w:szCs w:val="28"/>
          <w:shd w:val="clear" w:fill="FFFFFF"/>
        </w:rPr>
        <w:t>时间：</w:t>
      </w:r>
      <w:r>
        <w:rPr>
          <w:rFonts w:hint="eastAsia" w:ascii="仿宋" w:hAnsi="仿宋" w:eastAsia="仿宋" w:cs="仿宋"/>
          <w:i w:val="0"/>
          <w:iCs w:val="0"/>
          <w:caps w:val="0"/>
          <w:color w:val="333333"/>
          <w:spacing w:val="0"/>
          <w:sz w:val="28"/>
          <w:szCs w:val="28"/>
          <w:u w:val="single"/>
          <w:shd w:val="clear" w:fill="FFFFFF"/>
        </w:rPr>
        <w:t>年  月  日    点    分</w:t>
      </w:r>
      <w:r>
        <w:rPr>
          <w:rFonts w:hint="eastAsia" w:ascii="仿宋" w:hAnsi="仿宋" w:eastAsia="仿宋" w:cs="仿宋"/>
          <w:i w:val="0"/>
          <w:iCs w:val="0"/>
          <w:caps w:val="0"/>
          <w:color w:val="333333"/>
          <w:spacing w:val="0"/>
          <w:sz w:val="28"/>
          <w:szCs w:val="28"/>
          <w:shd w:val="clear" w:fill="FFFFFF"/>
        </w:rPr>
        <w:t>（北京时间）</w:t>
      </w:r>
      <w:r>
        <w:rPr>
          <w:rFonts w:hint="eastAsia" w:ascii="仿宋" w:hAnsi="仿宋" w:eastAsia="仿宋" w:cs="仿宋"/>
          <w:color w:val="000000"/>
          <w:sz w:val="28"/>
          <w:szCs w:val="28"/>
        </w:rPr>
        <w:t>。</w:t>
      </w:r>
      <w:bookmarkEnd w:id="23"/>
      <w:bookmarkEnd w:id="24"/>
      <w:bookmarkEnd w:id="25"/>
    </w:p>
    <w:p w14:paraId="0CC4DFD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cs="仿宋"/>
          <w:i w:val="0"/>
          <w:iCs w:val="0"/>
          <w:caps w:val="0"/>
          <w:color w:val="333333"/>
          <w:spacing w:val="0"/>
          <w:sz w:val="28"/>
          <w:szCs w:val="28"/>
          <w:shd w:val="clear" w:fill="FFFFFF"/>
        </w:rPr>
        <w:t>地点：</w:t>
      </w:r>
      <w:r>
        <w:rPr>
          <w:rFonts w:hint="eastAsia" w:ascii="仿宋" w:hAnsi="仿宋" w:eastAsia="仿宋" w:cs="仿宋"/>
          <w:i w:val="0"/>
          <w:iCs w:val="0"/>
          <w:caps w:val="0"/>
          <w:color w:val="333333"/>
          <w:spacing w:val="0"/>
          <w:sz w:val="28"/>
          <w:szCs w:val="28"/>
          <w:shd w:val="clear" w:fill="FFFFFF"/>
          <w:lang w:val="en-US" w:eastAsia="zh-CN"/>
        </w:rPr>
        <w:t>“苏采云”政府采购交易系统网上开标大厅。</w:t>
      </w:r>
    </w:p>
    <w:p w14:paraId="169C10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firstLine="562" w:firstLineChars="200"/>
        <w:jc w:val="both"/>
        <w:rPr>
          <w:rFonts w:hint="eastAsia" w:ascii="仿宋" w:hAnsi="仿宋" w:eastAsia="仿宋" w:cs="仿宋"/>
          <w:b/>
          <w:bCs w:val="0"/>
          <w:color w:val="000000"/>
          <w:kern w:val="0"/>
          <w:sz w:val="28"/>
          <w:szCs w:val="28"/>
          <w:lang w:val="en-US" w:eastAsia="zh-CN" w:bidi="ar-SA"/>
        </w:rPr>
      </w:pPr>
      <w:bookmarkStart w:id="26" w:name="_Toc28359094"/>
      <w:r>
        <w:rPr>
          <w:rFonts w:hint="eastAsia" w:ascii="仿宋" w:hAnsi="仿宋" w:eastAsia="仿宋" w:cs="仿宋"/>
          <w:b/>
          <w:bCs w:val="0"/>
          <w:color w:val="000000"/>
          <w:kern w:val="0"/>
          <w:sz w:val="28"/>
          <w:szCs w:val="28"/>
          <w:lang w:val="en-US" w:eastAsia="zh-CN" w:bidi="ar-SA"/>
        </w:rPr>
        <w:t>六、公告期限</w:t>
      </w:r>
      <w:bookmarkEnd w:id="26"/>
    </w:p>
    <w:p w14:paraId="5ACC7F8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shd w:val="clear" w:fill="FFFFFF"/>
        </w:rPr>
        <w:t>自本公告发布之日起3个工作日。</w:t>
      </w:r>
    </w:p>
    <w:p w14:paraId="3D7A0DE8">
      <w:pPr>
        <w:pStyle w:val="6"/>
        <w:spacing w:beforeAutospacing="0" w:afterAutospacing="0"/>
        <w:ind w:firstLine="480"/>
        <w:jc w:val="both"/>
        <w:rPr>
          <w:rFonts w:hint="eastAsia" w:ascii="仿宋" w:hAnsi="仿宋" w:eastAsia="仿宋" w:cs="仿宋"/>
          <w:color w:val="000000"/>
          <w:sz w:val="28"/>
          <w:szCs w:val="28"/>
        </w:rPr>
      </w:pPr>
    </w:p>
    <w:p w14:paraId="092C367F">
      <w:pPr>
        <w:pStyle w:val="6"/>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lang w:val="en-US" w:eastAsia="zh-CN"/>
        </w:rPr>
        <w:t>七</w:t>
      </w:r>
      <w:r>
        <w:rPr>
          <w:rFonts w:hint="eastAsia" w:ascii="仿宋" w:hAnsi="仿宋" w:eastAsia="仿宋" w:cs="仿宋"/>
          <w:b/>
          <w:color w:val="000000"/>
          <w:sz w:val="28"/>
          <w:szCs w:val="28"/>
        </w:rPr>
        <w:t>、其他补充事宜</w:t>
      </w:r>
    </w:p>
    <w:p w14:paraId="0FB9AD9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27"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6FE02AD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7E03554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 有关本次谈判的事项若存在变动或修改，敬请及时关注盐城市政府采购中心在“中国政府采购网”、“江苏政府采购网”、“盐城市政府采购网”发布的更正公告。</w:t>
      </w:r>
    </w:p>
    <w:p w14:paraId="2E3D4B2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 本次谈判不收取谈判保证金，不收取质量保证金。</w:t>
      </w:r>
    </w:p>
    <w:p w14:paraId="133DAF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rPr>
          <w:rFonts w:hint="eastAsia" w:ascii="仿宋" w:hAnsi="仿宋" w:eastAsia="仿宋" w:cs="仿宋"/>
          <w:b/>
          <w:bCs w:val="0"/>
          <w:color w:val="000000"/>
          <w:kern w:val="0"/>
          <w:sz w:val="28"/>
          <w:szCs w:val="28"/>
          <w:lang w:val="en-US" w:eastAsia="zh-CN" w:bidi="ar-SA"/>
        </w:rPr>
        <w:t>八、凡对本次采购提出询问，请按以下方式联系。</w:t>
      </w:r>
      <w:bookmarkEnd w:id="27"/>
    </w:p>
    <w:p w14:paraId="3FDAB92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232C0B3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6F11DE2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654FE21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31874B1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3199FBD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41446A8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名 称：盐城市政府采购中心</w:t>
      </w:r>
    </w:p>
    <w:p w14:paraId="7C3FB7B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3C7D20A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4601CE7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10"/>
      <w:bookmarkStart w:id="30" w:name="_Toc28359087"/>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2D482D2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6CA7C1A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405117E4">
      <w:pPr>
        <w:pStyle w:val="6"/>
        <w:spacing w:beforeAutospacing="0" w:afterAutospacing="0"/>
        <w:ind w:right="840" w:firstLine="560" w:firstLineChars="200"/>
        <w:jc w:val="both"/>
      </w:pPr>
      <w:r>
        <w:rPr>
          <w:rFonts w:hint="eastAsia" w:ascii="仿宋" w:hAnsi="仿宋" w:eastAsia="仿宋" w:cs="仿宋"/>
          <w:i w:val="0"/>
          <w:iCs w:val="0"/>
          <w:caps w:val="0"/>
          <w:color w:val="333333"/>
          <w:spacing w:val="0"/>
          <w:sz w:val="28"/>
          <w:szCs w:val="28"/>
          <w:shd w:val="clear" w:fill="FFFFFF"/>
          <w:lang w:val="en-US" w:eastAsia="zh-CN"/>
        </w:rPr>
        <w:t>电　　 话：　　</w:t>
      </w:r>
    </w:p>
    <w:p w14:paraId="32EECE09">
      <w:pPr>
        <w:pStyle w:val="6"/>
        <w:spacing w:beforeAutospacing="0" w:afterAutospacing="0"/>
        <w:ind w:right="840"/>
        <w:jc w:val="both"/>
      </w:pPr>
      <w:r>
        <w:t> </w:t>
      </w:r>
    </w:p>
    <w:p w14:paraId="06D9144B">
      <w:pPr>
        <w:pStyle w:val="6"/>
        <w:spacing w:beforeAutospacing="0" w:afterAutospacing="0"/>
        <w:ind w:right="840"/>
        <w:jc w:val="both"/>
      </w:pPr>
      <w:r>
        <w:t> </w:t>
      </w:r>
    </w:p>
    <w:p w14:paraId="67D31B95">
      <w:pPr>
        <w:pStyle w:val="6"/>
        <w:spacing w:beforeAutospacing="0" w:afterAutospacing="0"/>
        <w:ind w:right="840"/>
        <w:jc w:val="both"/>
      </w:pPr>
      <w:r>
        <w:t> </w:t>
      </w:r>
    </w:p>
    <w:p w14:paraId="706D137C">
      <w:pPr>
        <w:pStyle w:val="6"/>
        <w:spacing w:beforeAutospacing="0" w:afterAutospacing="0"/>
        <w:ind w:right="840"/>
        <w:jc w:val="both"/>
      </w:pPr>
      <w:r>
        <w:t> </w:t>
      </w:r>
    </w:p>
    <w:p w14:paraId="7508B9B4">
      <w:pPr>
        <w:pStyle w:val="6"/>
        <w:spacing w:beforeAutospacing="0" w:afterAutospacing="0"/>
        <w:ind w:right="840"/>
        <w:jc w:val="both"/>
      </w:pPr>
      <w:r>
        <w:t> </w:t>
      </w:r>
    </w:p>
    <w:p w14:paraId="6E76DDA8">
      <w:pPr>
        <w:pStyle w:val="6"/>
        <w:spacing w:beforeAutospacing="0" w:afterAutospacing="0"/>
        <w:ind w:right="840"/>
        <w:jc w:val="both"/>
      </w:pPr>
      <w:r>
        <w:t> </w:t>
      </w:r>
    </w:p>
    <w:p w14:paraId="10E31F2E">
      <w:pPr>
        <w:pStyle w:val="6"/>
        <w:spacing w:beforeAutospacing="0" w:afterAutospacing="0"/>
        <w:ind w:right="840"/>
        <w:jc w:val="both"/>
      </w:pPr>
      <w:r>
        <w:t> </w:t>
      </w:r>
    </w:p>
    <w:p w14:paraId="0284FE9A">
      <w:pPr>
        <w:pStyle w:val="6"/>
        <w:spacing w:beforeAutospacing="0" w:afterAutospacing="0"/>
        <w:ind w:right="840"/>
        <w:jc w:val="both"/>
      </w:pPr>
      <w:r>
        <w:t> </w:t>
      </w:r>
    </w:p>
    <w:p w14:paraId="5FF5A9C7">
      <w:pPr>
        <w:pStyle w:val="6"/>
        <w:spacing w:beforeAutospacing="0" w:afterAutospacing="0"/>
        <w:ind w:right="840"/>
        <w:jc w:val="both"/>
      </w:pPr>
      <w:r>
        <w:t> </w:t>
      </w:r>
    </w:p>
    <w:p w14:paraId="143DB787">
      <w:pPr>
        <w:pStyle w:val="6"/>
        <w:spacing w:beforeAutospacing="0" w:afterAutospacing="0"/>
        <w:ind w:right="840"/>
        <w:jc w:val="both"/>
      </w:pPr>
      <w:r>
        <w:t> </w:t>
      </w:r>
    </w:p>
    <w:p w14:paraId="0A2067B1">
      <w:pPr>
        <w:pStyle w:val="6"/>
        <w:spacing w:beforeAutospacing="0" w:afterAutospacing="0"/>
        <w:ind w:right="840"/>
        <w:jc w:val="both"/>
      </w:pPr>
      <w:r>
        <w:t> </w:t>
      </w:r>
    </w:p>
    <w:p w14:paraId="43700A3C">
      <w:pPr>
        <w:pStyle w:val="6"/>
        <w:spacing w:beforeAutospacing="0" w:afterAutospacing="0"/>
        <w:ind w:right="840"/>
        <w:jc w:val="both"/>
      </w:pPr>
      <w:r>
        <w:t> </w:t>
      </w:r>
    </w:p>
    <w:p w14:paraId="57661243">
      <w:pPr>
        <w:pStyle w:val="6"/>
        <w:spacing w:beforeAutospacing="0" w:afterAutospacing="0"/>
        <w:ind w:right="840"/>
        <w:jc w:val="both"/>
      </w:pPr>
      <w:r>
        <w:t> </w:t>
      </w:r>
    </w:p>
    <w:p w14:paraId="43BE4382">
      <w:pPr>
        <w:pStyle w:val="6"/>
        <w:spacing w:beforeAutospacing="0" w:afterAutospacing="0"/>
        <w:ind w:right="840"/>
        <w:jc w:val="both"/>
      </w:pPr>
      <w:r>
        <w:t> </w:t>
      </w:r>
    </w:p>
    <w:p w14:paraId="5F4EBDD4">
      <w:pPr>
        <w:pStyle w:val="6"/>
        <w:spacing w:beforeAutospacing="0" w:afterAutospacing="0"/>
        <w:ind w:right="840"/>
        <w:jc w:val="both"/>
      </w:pPr>
      <w:r>
        <w:t> </w:t>
      </w:r>
    </w:p>
    <w:p w14:paraId="2A6EBD8D">
      <w:pPr>
        <w:pStyle w:val="6"/>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43EB0322">
      <w:pPr>
        <w:pStyle w:val="6"/>
        <w:keepNext/>
        <w:keepLines/>
        <w:spacing w:before="145" w:beforeAutospacing="0" w:after="145" w:afterAutospacing="0" w:line="360" w:lineRule="auto"/>
        <w:ind w:firstLine="498"/>
        <w:jc w:val="both"/>
      </w:pPr>
      <w:bookmarkStart w:id="33" w:name="_Toc20823275"/>
      <w:bookmarkStart w:id="34" w:name="_Toc16938519"/>
      <w:bookmarkStart w:id="35" w:name="_Toc120614214"/>
      <w:bookmarkStart w:id="36" w:name="_Toc513029203"/>
      <w:r>
        <w:rPr>
          <w:rFonts w:ascii="Times New Roman" w:hAnsi="Times New Roman"/>
          <w:b/>
          <w:color w:val="000000"/>
          <w:sz w:val="32"/>
          <w:szCs w:val="32"/>
        </w:rPr>
        <w:t>一、总则</w:t>
      </w:r>
      <w:bookmarkEnd w:id="33"/>
      <w:bookmarkEnd w:id="34"/>
      <w:bookmarkEnd w:id="35"/>
      <w:bookmarkEnd w:id="36"/>
    </w:p>
    <w:p w14:paraId="59A0137D">
      <w:pPr>
        <w:pStyle w:val="6"/>
        <w:keepNext/>
        <w:keepLines/>
        <w:spacing w:beforeAutospacing="0" w:afterAutospacing="0"/>
        <w:ind w:firstLine="420"/>
        <w:jc w:val="both"/>
      </w:pPr>
      <w:bookmarkStart w:id="37" w:name="_Toc20823276"/>
      <w:bookmarkStart w:id="38" w:name="_Toc458694821"/>
      <w:bookmarkStart w:id="39" w:name="_Toc513029204"/>
      <w:bookmarkStart w:id="40" w:name="_Toc16938520"/>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3A87EC93">
      <w:pPr>
        <w:pStyle w:val="6"/>
        <w:spacing w:beforeAutospacing="0" w:afterAutospacing="0" w:line="0" w:lineRule="atLeast"/>
        <w:ind w:firstLine="480"/>
        <w:jc w:val="both"/>
      </w:pPr>
      <w:r>
        <w:rPr>
          <w:rFonts w:hint="eastAsia" w:ascii="宋体" w:hAnsi="宋体" w:eastAsia="宋体" w:cs="宋体"/>
          <w:color w:val="000000"/>
        </w:rPr>
        <w:t>1.1 本次政府采购活动采取竞争性谈判(以下简称谈判)方式，本谈判文件仅适用于谈判公告中所述项目。</w:t>
      </w:r>
    </w:p>
    <w:p w14:paraId="17C7D8FF">
      <w:pPr>
        <w:pStyle w:val="6"/>
        <w:keepNext/>
        <w:keepLines/>
        <w:spacing w:beforeAutospacing="0" w:afterAutospacing="0"/>
        <w:ind w:firstLine="420"/>
        <w:jc w:val="both"/>
      </w:pPr>
      <w:bookmarkStart w:id="42" w:name="_Toc513029205"/>
      <w:bookmarkStart w:id="43" w:name="_Toc16938521"/>
      <w:bookmarkStart w:id="44" w:name="_Toc20823277"/>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79941B6C">
      <w:pPr>
        <w:pStyle w:val="6"/>
        <w:spacing w:beforeAutospacing="0" w:afterAutospacing="0" w:line="0" w:lineRule="atLeast"/>
        <w:ind w:firstLine="480"/>
        <w:jc w:val="both"/>
      </w:pPr>
      <w:r>
        <w:rPr>
          <w:rFonts w:hint="eastAsia" w:ascii="宋体" w:hAnsi="宋体" w:eastAsia="宋体" w:cs="宋体"/>
          <w:color w:val="000000"/>
        </w:rPr>
        <w:t>2.1满足谈判公告中供应商资格要求的规定。</w:t>
      </w:r>
    </w:p>
    <w:p w14:paraId="3DC7C698">
      <w:pPr>
        <w:pStyle w:val="6"/>
        <w:spacing w:beforeAutospacing="0" w:afterAutospacing="0" w:line="0" w:lineRule="atLeast"/>
        <w:ind w:firstLine="480"/>
        <w:jc w:val="both"/>
      </w:pPr>
      <w:r>
        <w:rPr>
          <w:rFonts w:hint="eastAsia" w:ascii="宋体" w:hAnsi="宋体" w:eastAsia="宋体" w:cs="宋体"/>
          <w:color w:val="000000"/>
        </w:rPr>
        <w:t>2.2 满足本谈判文件实质性要求和条件的规定。</w:t>
      </w:r>
    </w:p>
    <w:p w14:paraId="685744E1">
      <w:pPr>
        <w:pStyle w:val="6"/>
        <w:keepNext/>
        <w:keepLines/>
        <w:spacing w:beforeAutospacing="0" w:afterAutospacing="0"/>
        <w:ind w:firstLine="420"/>
        <w:jc w:val="both"/>
      </w:pPr>
      <w:bookmarkStart w:id="45" w:name="_Toc16938522"/>
      <w:bookmarkStart w:id="46" w:name="_Toc20823278"/>
      <w:bookmarkStart w:id="47" w:name="_Toc513029206"/>
      <w:r>
        <w:rPr>
          <w:rFonts w:ascii="Arial" w:hAnsi="Arial" w:cs="Arial"/>
          <w:color w:val="000000"/>
          <w:sz w:val="28"/>
          <w:szCs w:val="28"/>
        </w:rPr>
        <w:t>3、适用法律</w:t>
      </w:r>
      <w:bookmarkEnd w:id="45"/>
      <w:bookmarkEnd w:id="46"/>
      <w:bookmarkEnd w:id="47"/>
    </w:p>
    <w:p w14:paraId="6682934F">
      <w:pPr>
        <w:pStyle w:val="6"/>
        <w:spacing w:beforeAutospacing="0" w:afterAutospacing="0" w:line="0" w:lineRule="atLeast"/>
        <w:ind w:firstLine="420"/>
        <w:jc w:val="both"/>
      </w:pPr>
      <w:r>
        <w:rPr>
          <w:rFonts w:hint="eastAsia" w:ascii="宋体" w:hAnsi="宋体" w:eastAsia="宋体" w:cs="宋体"/>
          <w:color w:val="000000"/>
        </w:rPr>
        <w:t>3.1 本次谈判及由此产生的合同受中华人民共和国有关的法律法规制约和保护。</w:t>
      </w:r>
    </w:p>
    <w:p w14:paraId="5F901C58">
      <w:pPr>
        <w:pStyle w:val="6"/>
        <w:keepNext/>
        <w:keepLines/>
        <w:spacing w:beforeAutospacing="0" w:afterAutospacing="0"/>
        <w:ind w:firstLine="420"/>
        <w:jc w:val="both"/>
      </w:pPr>
      <w:bookmarkStart w:id="48" w:name="_Toc462564067"/>
      <w:bookmarkStart w:id="49" w:name="_Toc16938523"/>
      <w:bookmarkStart w:id="50" w:name="_Toc513029207"/>
      <w:bookmarkStart w:id="51" w:name="_Toc20823279"/>
      <w:r>
        <w:rPr>
          <w:rFonts w:ascii="Arial" w:hAnsi="Arial" w:cs="Arial"/>
          <w:color w:val="000000"/>
          <w:sz w:val="28"/>
          <w:szCs w:val="28"/>
        </w:rPr>
        <w:t>4、谈判费用</w:t>
      </w:r>
      <w:bookmarkEnd w:id="48"/>
      <w:bookmarkEnd w:id="49"/>
      <w:bookmarkEnd w:id="50"/>
      <w:bookmarkEnd w:id="51"/>
    </w:p>
    <w:p w14:paraId="449DE657">
      <w:pPr>
        <w:pStyle w:val="6"/>
        <w:spacing w:beforeAutospacing="0" w:afterAutospacing="0" w:line="0" w:lineRule="atLeast"/>
        <w:ind w:firstLine="480"/>
        <w:jc w:val="both"/>
      </w:pPr>
      <w:r>
        <w:rPr>
          <w:rFonts w:hint="eastAsia" w:ascii="宋体" w:hAnsi="宋体" w:eastAsia="宋体" w:cs="宋体"/>
          <w:color w:val="000000"/>
        </w:rPr>
        <w:t>4.1供应商应自行承担所有与参加本次谈判有关的费用，无论谈判过程中的做法和结果如何，盐城市政府采购中心（以下简称采购中心）在任何情况下均无义务和责任承担这些费用。</w:t>
      </w:r>
    </w:p>
    <w:p w14:paraId="71A606D3">
      <w:pPr>
        <w:pStyle w:val="6"/>
        <w:spacing w:beforeAutospacing="0" w:afterAutospacing="0" w:line="0" w:lineRule="atLeast"/>
        <w:ind w:firstLine="480"/>
        <w:jc w:val="both"/>
      </w:pPr>
      <w:r>
        <w:rPr>
          <w:rFonts w:hint="eastAsia" w:ascii="宋体" w:hAnsi="宋体" w:eastAsia="宋体" w:cs="宋体"/>
          <w:color w:val="000000"/>
        </w:rPr>
        <w:t>4.2本次谈判采购中心和采购人不收取标书工本费与成交服务费。</w:t>
      </w:r>
    </w:p>
    <w:p w14:paraId="7FB692C9">
      <w:pPr>
        <w:pStyle w:val="6"/>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谈判文件的约束力</w:t>
      </w:r>
    </w:p>
    <w:p w14:paraId="64F408A6">
      <w:pPr>
        <w:pStyle w:val="6"/>
        <w:spacing w:beforeAutospacing="0" w:afterAutospacing="0" w:line="0" w:lineRule="atLeast"/>
        <w:ind w:firstLine="480"/>
        <w:jc w:val="both"/>
      </w:pPr>
      <w:r>
        <w:rPr>
          <w:rFonts w:hint="eastAsia" w:ascii="宋体" w:hAnsi="宋体" w:eastAsia="宋体" w:cs="宋体"/>
          <w:color w:val="000000"/>
        </w:rPr>
        <w:t>5.1供应商一旦参加本项目采购活动，即被认为接受了本谈判文件的规定和约束。</w:t>
      </w:r>
    </w:p>
    <w:p w14:paraId="376D3797">
      <w:pPr>
        <w:pStyle w:val="6"/>
        <w:keepNext/>
        <w:keepLines/>
        <w:spacing w:before="145" w:beforeAutospacing="0" w:after="145" w:afterAutospacing="0" w:line="360" w:lineRule="auto"/>
        <w:ind w:firstLine="321"/>
        <w:jc w:val="both"/>
      </w:pPr>
      <w:bookmarkStart w:id="52" w:name="_Toc16938525"/>
      <w:bookmarkStart w:id="53" w:name="_Toc513029209"/>
      <w:bookmarkStart w:id="54" w:name="_Toc20823281"/>
      <w:bookmarkStart w:id="55" w:name="_Toc12061421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谈判文件</w:t>
      </w:r>
    </w:p>
    <w:p w14:paraId="083BFD48">
      <w:pPr>
        <w:pStyle w:val="6"/>
        <w:keepNext/>
        <w:keepLines/>
        <w:spacing w:beforeAutospacing="0" w:afterAutospacing="0"/>
        <w:ind w:firstLine="420"/>
        <w:jc w:val="both"/>
      </w:pPr>
      <w:bookmarkStart w:id="56" w:name="_Toc16938526"/>
      <w:bookmarkStart w:id="57" w:name="_Toc20823282"/>
      <w:bookmarkStart w:id="58" w:name="_Toc513029210"/>
      <w:r>
        <w:rPr>
          <w:rFonts w:ascii="Arial" w:hAnsi="Arial" w:cs="Arial"/>
          <w:color w:val="000000"/>
          <w:sz w:val="28"/>
          <w:szCs w:val="28"/>
        </w:rPr>
        <w:t>6、谈判文件构成</w:t>
      </w:r>
      <w:bookmarkEnd w:id="56"/>
      <w:bookmarkEnd w:id="57"/>
      <w:bookmarkEnd w:id="58"/>
    </w:p>
    <w:p w14:paraId="410F040E">
      <w:pPr>
        <w:pStyle w:val="6"/>
        <w:spacing w:beforeAutospacing="0" w:afterAutospacing="0" w:line="0" w:lineRule="atLeast"/>
        <w:ind w:firstLine="480"/>
        <w:jc w:val="both"/>
      </w:pPr>
      <w:r>
        <w:rPr>
          <w:rFonts w:hint="eastAsia" w:ascii="宋体" w:hAnsi="宋体" w:eastAsia="宋体" w:cs="宋体"/>
          <w:color w:val="000000"/>
        </w:rPr>
        <w:t>6.1谈判文件由以下部分组成：</w:t>
      </w:r>
    </w:p>
    <w:p w14:paraId="434F0CE1">
      <w:pPr>
        <w:pStyle w:val="6"/>
        <w:numPr>
          <w:ilvl w:val="0"/>
          <w:numId w:val="1"/>
        </w:numPr>
        <w:spacing w:beforeAutospacing="0" w:afterAutospacing="0" w:line="0" w:lineRule="atLeast"/>
        <w:ind w:firstLine="360"/>
        <w:jc w:val="both"/>
        <w:rPr>
          <w:rFonts w:hint="eastAsia" w:ascii="宋体" w:hAnsi="宋体" w:eastAsia="宋体" w:cs="宋体"/>
          <w:color w:val="000000"/>
          <w:lang w:val="en-US" w:eastAsia="zh-CN"/>
        </w:rPr>
      </w:pPr>
      <w:r>
        <w:rPr>
          <w:rFonts w:hint="eastAsia" w:ascii="宋体" w:hAnsi="宋体" w:eastAsia="宋体" w:cs="宋体"/>
          <w:color w:val="000000"/>
        </w:rPr>
        <w:t>谈判</w:t>
      </w:r>
      <w:r>
        <w:rPr>
          <w:rFonts w:hint="eastAsia" w:ascii="宋体" w:hAnsi="宋体" w:eastAsia="宋体" w:cs="宋体"/>
          <w:color w:val="000000"/>
          <w:lang w:val="en-US" w:eastAsia="zh-CN"/>
        </w:rPr>
        <w:t>公告</w:t>
      </w:r>
    </w:p>
    <w:p w14:paraId="62BE9BF4">
      <w:pPr>
        <w:pStyle w:val="6"/>
        <w:numPr>
          <w:ilvl w:val="0"/>
          <w:numId w:val="0"/>
        </w:numPr>
        <w:spacing w:beforeAutospacing="0" w:afterAutospacing="0" w:line="0" w:lineRule="atLeast"/>
        <w:ind w:firstLine="480" w:firstLineChars="200"/>
        <w:jc w:val="both"/>
        <w:rPr>
          <w:highlight w:val="none"/>
        </w:rPr>
      </w:pPr>
      <w:r>
        <w:rPr>
          <w:rFonts w:hint="eastAsia" w:ascii="宋体" w:hAnsi="宋体" w:eastAsia="宋体" w:cs="宋体"/>
          <w:color w:val="000000"/>
          <w:highlight w:val="none"/>
        </w:rPr>
        <w:t>（2）供应商须知</w:t>
      </w:r>
    </w:p>
    <w:p w14:paraId="5AE57DC1">
      <w:pPr>
        <w:pStyle w:val="6"/>
        <w:spacing w:beforeAutospacing="0" w:afterAutospacing="0" w:line="0" w:lineRule="atLeast"/>
        <w:ind w:firstLine="360"/>
        <w:jc w:val="both"/>
        <w:rPr>
          <w:highlight w:val="none"/>
        </w:rPr>
      </w:pPr>
      <w:r>
        <w:rPr>
          <w:rFonts w:hint="eastAsia" w:ascii="宋体" w:hAnsi="宋体" w:eastAsia="宋体" w:cs="宋体"/>
          <w:color w:val="000000"/>
          <w:highlight w:val="none"/>
        </w:rPr>
        <w:t>（3）合同文本</w:t>
      </w:r>
    </w:p>
    <w:p w14:paraId="5F1323D1">
      <w:pPr>
        <w:pStyle w:val="6"/>
        <w:spacing w:beforeAutospacing="0" w:afterAutospacing="0" w:line="0" w:lineRule="atLeast"/>
        <w:ind w:firstLine="360"/>
        <w:jc w:val="both"/>
        <w:rPr>
          <w:highlight w:val="none"/>
        </w:rPr>
      </w:pPr>
      <w:r>
        <w:rPr>
          <w:rFonts w:hint="eastAsia" w:ascii="宋体" w:hAnsi="宋体" w:eastAsia="宋体" w:cs="宋体"/>
          <w:color w:val="000000"/>
          <w:highlight w:val="none"/>
        </w:rPr>
        <w:t>（4）采购需求</w:t>
      </w:r>
    </w:p>
    <w:p w14:paraId="55143C01">
      <w:pPr>
        <w:pStyle w:val="6"/>
        <w:spacing w:beforeAutospacing="0" w:afterAutospacing="0" w:line="0" w:lineRule="atLeast"/>
        <w:ind w:firstLine="360"/>
        <w:jc w:val="both"/>
        <w:rPr>
          <w:highlight w:val="none"/>
        </w:rPr>
      </w:pPr>
      <w:r>
        <w:rPr>
          <w:rFonts w:hint="eastAsia" w:ascii="宋体" w:hAnsi="宋体" w:eastAsia="宋体" w:cs="宋体"/>
          <w:color w:val="000000"/>
          <w:highlight w:val="none"/>
        </w:rPr>
        <w:t>（5）响应文件格式</w:t>
      </w:r>
    </w:p>
    <w:p w14:paraId="61B36C83">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请仔细检查谈判文件是否齐全，如有缺漏请立即与采购中心联系解决。</w:t>
      </w:r>
    </w:p>
    <w:p w14:paraId="2DD60625">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6.2供应商应认真阅读谈判文件中所有的事项、格式、条款和规范等要求。按谈判文件要求和规定编制响应文件，并保证所提供的全部资料的真实性，以使其响应文件对谈判文件作出实质性响应，否则其风险由供应商自行承担。</w:t>
      </w:r>
    </w:p>
    <w:p w14:paraId="7B91CDF4">
      <w:pPr>
        <w:pStyle w:val="6"/>
        <w:keepNext/>
        <w:keepLines/>
        <w:spacing w:beforeAutospacing="0" w:afterAutospacing="0"/>
        <w:ind w:firstLine="560"/>
        <w:jc w:val="both"/>
        <w:rPr>
          <w:highlight w:val="none"/>
        </w:rPr>
      </w:pPr>
      <w:bookmarkStart w:id="59" w:name="_Toc513029211"/>
      <w:bookmarkStart w:id="60" w:name="_Toc20823283"/>
      <w:bookmarkStart w:id="61" w:name="_Toc16938527"/>
      <w:bookmarkStart w:id="62" w:name="_Toc462564070"/>
      <w:r>
        <w:rPr>
          <w:rFonts w:ascii="Arial" w:hAnsi="Arial" w:cs="Arial"/>
          <w:color w:val="000000"/>
          <w:sz w:val="28"/>
          <w:szCs w:val="28"/>
          <w:highlight w:val="none"/>
        </w:rPr>
        <w:t>7、谈判文件的澄清</w:t>
      </w:r>
      <w:bookmarkEnd w:id="59"/>
      <w:bookmarkEnd w:id="60"/>
      <w:bookmarkEnd w:id="61"/>
      <w:bookmarkEnd w:id="62"/>
    </w:p>
    <w:p w14:paraId="38570398">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7.1 任何要求对谈判文件进行澄清的供应商，应在谈判截止期5日</w:t>
      </w:r>
      <w:r>
        <w:rPr>
          <w:rFonts w:ascii="仿宋_GB2312" w:eastAsia="仿宋_GB2312" w:cs="仿宋_GB2312"/>
          <w:color w:val="000000"/>
          <w:highlight w:val="none"/>
        </w:rPr>
        <w:t>前</w:t>
      </w:r>
      <w:r>
        <w:rPr>
          <w:rFonts w:hint="eastAsia" w:ascii="宋体" w:hAnsi="宋体" w:eastAsia="宋体" w:cs="宋体"/>
          <w:color w:val="000000"/>
          <w:highlight w:val="none"/>
        </w:rPr>
        <w:t>按谈判公告中的通讯地址，以书面形式通知采购中心。</w:t>
      </w:r>
    </w:p>
    <w:p w14:paraId="6713692F">
      <w:pPr>
        <w:pStyle w:val="6"/>
        <w:keepNext/>
        <w:keepLines/>
        <w:spacing w:beforeAutospacing="0" w:afterAutospacing="0"/>
        <w:ind w:firstLine="560"/>
        <w:jc w:val="both"/>
        <w:rPr>
          <w:highlight w:val="none"/>
        </w:rPr>
      </w:pPr>
      <w:bookmarkStart w:id="63" w:name="_Toc462564071"/>
      <w:bookmarkStart w:id="64" w:name="_Toc16938528"/>
      <w:bookmarkStart w:id="65" w:name="_Toc513029212"/>
      <w:bookmarkStart w:id="66" w:name="_Toc20823284"/>
      <w:r>
        <w:rPr>
          <w:rFonts w:ascii="Arial" w:hAnsi="Arial" w:cs="Arial"/>
          <w:color w:val="000000"/>
          <w:sz w:val="28"/>
          <w:szCs w:val="28"/>
          <w:highlight w:val="none"/>
        </w:rPr>
        <w:t>8、谈判文件的澄清和修改</w:t>
      </w:r>
      <w:bookmarkEnd w:id="63"/>
      <w:bookmarkEnd w:id="64"/>
      <w:bookmarkEnd w:id="65"/>
      <w:bookmarkEnd w:id="66"/>
    </w:p>
    <w:p w14:paraId="26FDFFC6">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8.1 在响应文件提交截止时间</w:t>
      </w:r>
      <w:r>
        <w:rPr>
          <w:rFonts w:ascii="仿宋_GB2312" w:eastAsia="仿宋_GB2312" w:cs="仿宋_GB2312"/>
          <w:color w:val="000000"/>
          <w:highlight w:val="none"/>
        </w:rPr>
        <w:t>前</w:t>
      </w:r>
      <w:r>
        <w:rPr>
          <w:rFonts w:hint="eastAsia" w:ascii="宋体" w:hAnsi="宋体" w:eastAsia="宋体" w:cs="宋体"/>
          <w:color w:val="000000"/>
          <w:highlight w:val="none"/>
        </w:rPr>
        <w:t>，采购中心可以对谈判文件进行澄清和修改,</w:t>
      </w:r>
      <w:r>
        <w:rPr>
          <w:rFonts w:ascii="Times New Roman" w:hAnsi="Times New Roman"/>
          <w:color w:val="000000"/>
          <w:sz w:val="21"/>
          <w:szCs w:val="21"/>
          <w:highlight w:val="none"/>
        </w:rPr>
        <w:t> </w:t>
      </w:r>
      <w:r>
        <w:rPr>
          <w:rFonts w:hint="eastAsia" w:ascii="宋体" w:hAnsi="宋体" w:eastAsia="宋体" w:cs="宋体"/>
          <w:color w:val="000000"/>
          <w:highlight w:val="none"/>
        </w:rPr>
        <w:t>澄清或者修改的内容作为谈判文件的组成部分。澄清或者修改的内容可能影响响应文件编制的，采购中心将在提交首次响应文件截止时间至少3个工作日前，在</w:t>
      </w:r>
      <w:r>
        <w:rPr>
          <w:rFonts w:hint="eastAsia" w:ascii="宋体" w:hAnsi="宋体" w:eastAsia="宋体" w:cs="宋体"/>
          <w:color w:val="000000"/>
          <w:highlight w:val="none"/>
          <w:lang w:val="en-US" w:eastAsia="zh-CN"/>
        </w:rPr>
        <w:t>“中国政府采购网”、“江苏政府采购网”、“盐城市政府采购网”</w:t>
      </w:r>
      <w:r>
        <w:rPr>
          <w:rFonts w:hint="eastAsia" w:ascii="宋体" w:hAnsi="宋体" w:eastAsia="宋体" w:cs="宋体"/>
          <w:color w:val="000000"/>
          <w:highlight w:val="none"/>
        </w:rPr>
        <w:t>上发布书面更正公告形式通知所有获取谈判文件的供应商,</w:t>
      </w:r>
      <w:r>
        <w:rPr>
          <w:rFonts w:ascii="Times New Roman" w:hAnsi="Times New Roman"/>
          <w:color w:val="000000"/>
          <w:sz w:val="21"/>
          <w:szCs w:val="21"/>
          <w:highlight w:val="none"/>
        </w:rPr>
        <w:t> </w:t>
      </w:r>
      <w:r>
        <w:rPr>
          <w:rFonts w:hint="eastAsia" w:ascii="宋体" w:hAnsi="宋体" w:eastAsia="宋体" w:cs="宋体"/>
          <w:color w:val="000000"/>
          <w:highlight w:val="none"/>
        </w:rPr>
        <w:t>更正公告内容将作为谈判文件的组成部分，并对供应商具有约束力。不足3个工作日的，采购中心将顺延提交首次响应文件截止时间。</w:t>
      </w:r>
    </w:p>
    <w:p w14:paraId="2C42AF4F">
      <w:pPr>
        <w:pStyle w:val="6"/>
        <w:spacing w:beforeAutospacing="0" w:afterAutospacing="0" w:line="0" w:lineRule="atLeast"/>
        <w:ind w:firstLine="480"/>
        <w:jc w:val="both"/>
      </w:pPr>
      <w:r>
        <w:rPr>
          <w:rFonts w:hint="eastAsia" w:ascii="宋体" w:hAnsi="宋体" w:eastAsia="宋体" w:cs="宋体"/>
          <w:color w:val="000000"/>
        </w:rPr>
        <w:t>8.2采购中心可以视采购项目的具体情况，组织供应商进行现场考察或召开谈判前答疑会，但不单独或分别组织只有一个供应商参加的现场考察和答疑会。</w:t>
      </w:r>
    </w:p>
    <w:p w14:paraId="761E2B37">
      <w:pPr>
        <w:pStyle w:val="6"/>
        <w:keepNext/>
        <w:keepLines/>
        <w:spacing w:before="145" w:beforeAutospacing="0" w:after="145" w:afterAutospacing="0" w:line="360" w:lineRule="auto"/>
        <w:ind w:firstLine="482"/>
        <w:jc w:val="both"/>
      </w:pPr>
      <w:bookmarkStart w:id="67" w:name="_Toc20823285"/>
      <w:bookmarkStart w:id="68" w:name="_Toc120614216"/>
      <w:bookmarkStart w:id="69" w:name="_Toc462564072"/>
      <w:bookmarkStart w:id="70" w:name="_Toc16938529"/>
      <w:bookmarkStart w:id="71" w:name="_Toc513029213"/>
      <w:r>
        <w:rPr>
          <w:rFonts w:ascii="Times New Roman" w:hAnsi="Times New Roman"/>
          <w:b/>
          <w:color w:val="000000"/>
          <w:sz w:val="32"/>
          <w:szCs w:val="32"/>
        </w:rPr>
        <w:t>三、响应文件的编制</w:t>
      </w:r>
      <w:bookmarkEnd w:id="67"/>
      <w:bookmarkEnd w:id="68"/>
      <w:bookmarkEnd w:id="69"/>
      <w:bookmarkEnd w:id="70"/>
      <w:bookmarkEnd w:id="71"/>
    </w:p>
    <w:p w14:paraId="7B091B93">
      <w:pPr>
        <w:pStyle w:val="6"/>
        <w:keepNext/>
        <w:keepLines/>
        <w:spacing w:beforeAutospacing="0" w:afterAutospacing="0"/>
        <w:ind w:firstLine="560"/>
        <w:jc w:val="both"/>
      </w:pPr>
      <w:bookmarkStart w:id="72" w:name="_Toc513029214"/>
      <w:bookmarkStart w:id="73" w:name="_Toc462564073"/>
      <w:bookmarkStart w:id="74" w:name="_Toc20823286"/>
      <w:bookmarkStart w:id="75" w:name="_Toc16938530"/>
      <w:r>
        <w:rPr>
          <w:rFonts w:ascii="Arial" w:hAnsi="Arial" w:cs="Arial"/>
          <w:color w:val="000000"/>
          <w:sz w:val="28"/>
          <w:szCs w:val="28"/>
        </w:rPr>
        <w:t>9、响应文件的语言及度量衡单位</w:t>
      </w:r>
      <w:bookmarkEnd w:id="72"/>
      <w:bookmarkEnd w:id="73"/>
      <w:bookmarkEnd w:id="74"/>
      <w:bookmarkEnd w:id="75"/>
    </w:p>
    <w:p w14:paraId="1FF49A88">
      <w:pPr>
        <w:pStyle w:val="6"/>
        <w:spacing w:beforeAutospacing="0" w:afterAutospacing="0" w:line="0" w:lineRule="atLeast"/>
        <w:ind w:firstLine="480"/>
        <w:jc w:val="both"/>
      </w:pPr>
      <w:r>
        <w:rPr>
          <w:rFonts w:hint="eastAsia" w:ascii="宋体" w:hAnsi="宋体" w:eastAsia="宋体" w:cs="宋体"/>
          <w:color w:val="000000"/>
        </w:rPr>
        <w:t>9.1供应商提交的响应文件以及供应商与采购中心就有关谈判的所有来往通知、函件和文件均应使用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60EBB5B5">
      <w:pPr>
        <w:pStyle w:val="6"/>
        <w:spacing w:beforeAutospacing="0" w:afterAutospacing="0" w:line="0" w:lineRule="atLeast"/>
        <w:ind w:firstLine="480"/>
        <w:jc w:val="both"/>
      </w:pPr>
      <w:r>
        <w:rPr>
          <w:rFonts w:hint="eastAsia" w:ascii="宋体" w:hAnsi="宋体" w:eastAsia="宋体" w:cs="宋体"/>
          <w:color w:val="000000"/>
        </w:rPr>
        <w:t>9.2 除技术性能另有规定外，响应文件所使用的度量衡单位，均须采用国家法定计量单位。</w:t>
      </w:r>
    </w:p>
    <w:p w14:paraId="2FD9382B">
      <w:pPr>
        <w:pStyle w:val="6"/>
        <w:keepNext/>
        <w:keepLines/>
        <w:spacing w:beforeAutospacing="0" w:afterAutospacing="0"/>
        <w:ind w:firstLine="420"/>
        <w:jc w:val="both"/>
      </w:pPr>
      <w:bookmarkStart w:id="76" w:name="_Toc462564074"/>
      <w:bookmarkStart w:id="77" w:name="_Toc16938531"/>
      <w:bookmarkStart w:id="78" w:name="_Toc20823287"/>
      <w:bookmarkStart w:id="79" w:name="_Toc513029215"/>
      <w:r>
        <w:rPr>
          <w:rFonts w:ascii="Arial" w:hAnsi="Arial" w:cs="Arial"/>
          <w:color w:val="000000"/>
          <w:sz w:val="28"/>
          <w:szCs w:val="28"/>
        </w:rPr>
        <w:t>10、响应文件构成</w:t>
      </w:r>
      <w:bookmarkEnd w:id="76"/>
      <w:bookmarkEnd w:id="77"/>
      <w:bookmarkEnd w:id="78"/>
      <w:bookmarkEnd w:id="79"/>
    </w:p>
    <w:p w14:paraId="75D11DCE">
      <w:pPr>
        <w:pStyle w:val="6"/>
        <w:spacing w:beforeAutospacing="0" w:afterAutospacing="0" w:line="0" w:lineRule="atLeast"/>
        <w:ind w:firstLine="480"/>
        <w:jc w:val="both"/>
      </w:pPr>
      <w:r>
        <w:rPr>
          <w:rFonts w:hint="eastAsia" w:ascii="宋体" w:hAnsi="宋体" w:eastAsia="宋体" w:cs="宋体"/>
          <w:color w:val="000000"/>
        </w:rPr>
        <w:t>10.1供应商编写的响应文件应包括资格证明文件、符合性证明文件、分项报价表、技术要求响应及偏离表、商务要求响应及偏离表、其他证明文件、谈判响应函等部分。</w:t>
      </w:r>
    </w:p>
    <w:p w14:paraId="5A34496A">
      <w:pPr>
        <w:pStyle w:val="6"/>
        <w:spacing w:beforeAutospacing="0" w:afterAutospacing="0" w:line="0" w:lineRule="atLeast"/>
        <w:ind w:firstLine="480"/>
        <w:jc w:val="both"/>
        <w:rPr>
          <w:rFonts w:hint="eastAsia" w:ascii="宋体" w:hAnsi="宋体" w:eastAsia="宋体" w:cs="宋体"/>
          <w:color w:val="000000"/>
        </w:rPr>
      </w:pPr>
      <w:r>
        <w:rPr>
          <w:rFonts w:hint="eastAsia" w:ascii="宋体" w:hAnsi="宋体" w:eastAsia="宋体" w:cs="宋体"/>
          <w:color w:val="000000"/>
        </w:rPr>
        <w:t>10.2 如标书制作工具中格式和内容与</w:t>
      </w:r>
      <w:r>
        <w:rPr>
          <w:rFonts w:hint="eastAsia" w:ascii="宋体" w:hAnsi="宋体" w:eastAsia="宋体" w:cs="宋体"/>
          <w:color w:val="000000"/>
          <w:lang w:val="en-US" w:eastAsia="zh-CN"/>
        </w:rPr>
        <w:t>“中国政府采购网”、“江苏政府采购网”、“盐城市政府采购网”</w:t>
      </w:r>
      <w:r>
        <w:rPr>
          <w:rFonts w:hint="eastAsia" w:ascii="宋体" w:hAnsi="宋体" w:eastAsia="宋体" w:cs="宋体"/>
          <w:color w:val="000000"/>
        </w:rPr>
        <w:t>发布的谈判文件不一致，请以</w:t>
      </w:r>
      <w:r>
        <w:rPr>
          <w:rFonts w:hint="eastAsia" w:ascii="宋体" w:hAnsi="宋体" w:eastAsia="宋体" w:cs="宋体"/>
          <w:color w:val="000000"/>
          <w:lang w:val="en-US" w:eastAsia="zh-CN"/>
        </w:rPr>
        <w:t>“中国政府采购网”、“江苏政府采购网”、“盐城市政府采购网”</w:t>
      </w:r>
      <w:r>
        <w:rPr>
          <w:rFonts w:hint="eastAsia" w:ascii="宋体" w:hAnsi="宋体" w:eastAsia="宋体" w:cs="宋体"/>
          <w:color w:val="000000"/>
        </w:rPr>
        <w:t>发布的谈判文件为准。</w:t>
      </w:r>
    </w:p>
    <w:p w14:paraId="366FA1CB">
      <w:pPr>
        <w:pStyle w:val="6"/>
        <w:keepNext/>
        <w:keepLines/>
        <w:spacing w:beforeAutospacing="0" w:afterAutospacing="0"/>
        <w:ind w:firstLine="420"/>
        <w:jc w:val="both"/>
      </w:pPr>
      <w:bookmarkStart w:id="80" w:name="_Toc49090507"/>
      <w:bookmarkStart w:id="81" w:name="_Toc14577355"/>
      <w:bookmarkStart w:id="82" w:name="_Toc14577354"/>
      <w:bookmarkStart w:id="83" w:name="_Toc49090509"/>
      <w:bookmarkStart w:id="84" w:name="_Toc513029219"/>
      <w:bookmarkStart w:id="85" w:name="_Toc513029216"/>
      <w:bookmarkStart w:id="86" w:name="_Toc49090508"/>
      <w:bookmarkStart w:id="87" w:name="_Toc14577357"/>
      <w:bookmarkStart w:id="88" w:name="_Hlt26954838"/>
      <w:bookmarkStart w:id="89" w:name="_Hlt26670360"/>
      <w:bookmarkStart w:id="90" w:name="_Hlt26668975"/>
      <w:r>
        <w:rPr>
          <w:rFonts w:ascii="Arial" w:hAnsi="Arial" w:cs="Arial"/>
          <w:color w:val="000000"/>
          <w:sz w:val="28"/>
          <w:szCs w:val="28"/>
        </w:rPr>
        <w:t>11、证明谈判响应标的符合谈判文件规定的文件</w:t>
      </w:r>
      <w:bookmarkEnd w:id="80"/>
      <w:bookmarkEnd w:id="81"/>
      <w:bookmarkEnd w:id="82"/>
      <w:bookmarkEnd w:id="83"/>
      <w:bookmarkEnd w:id="84"/>
      <w:bookmarkEnd w:id="85"/>
      <w:bookmarkEnd w:id="86"/>
      <w:bookmarkEnd w:id="87"/>
    </w:p>
    <w:p w14:paraId="60430F2C">
      <w:pPr>
        <w:pStyle w:val="6"/>
        <w:spacing w:beforeAutospacing="0" w:afterAutospacing="0" w:line="0" w:lineRule="atLeast"/>
        <w:jc w:val="both"/>
      </w:pPr>
      <w:r>
        <w:rPr>
          <w:rFonts w:hint="eastAsia" w:ascii="宋体" w:hAnsi="宋体" w:eastAsia="宋体" w:cs="宋体"/>
          <w:color w:val="000000"/>
        </w:rPr>
        <w:t>    11.1供应商应按照谈判文件要求提交证明文件，证明其及谈判响应标的符合谈判文件规定。</w:t>
      </w:r>
    </w:p>
    <w:p w14:paraId="42CCB310">
      <w:pPr>
        <w:pStyle w:val="6"/>
        <w:spacing w:beforeAutospacing="0" w:afterAutospacing="0" w:line="0" w:lineRule="atLeast"/>
        <w:ind w:firstLine="480"/>
        <w:jc w:val="both"/>
      </w:pPr>
      <w:r>
        <w:rPr>
          <w:rFonts w:hint="eastAsia" w:ascii="宋体" w:hAnsi="宋体" w:eastAsia="宋体" w:cs="宋体"/>
          <w:color w:val="000000"/>
        </w:rPr>
        <w:t>11.2谈判文件对证明文件无明确形式要求的，证明文件可以以文字资料、图纸和数据等形式提交。</w:t>
      </w:r>
    </w:p>
    <w:p w14:paraId="2B7654EE">
      <w:pPr>
        <w:pStyle w:val="6"/>
        <w:keepNext/>
        <w:keepLines/>
        <w:spacing w:beforeAutospacing="0" w:afterAutospacing="0"/>
        <w:ind w:firstLine="420"/>
        <w:jc w:val="both"/>
      </w:pPr>
      <w:r>
        <w:rPr>
          <w:rFonts w:ascii="Arial" w:hAnsi="Arial" w:cs="Arial"/>
          <w:color w:val="000000"/>
          <w:sz w:val="28"/>
          <w:szCs w:val="28"/>
        </w:rPr>
        <w:t>12、分项报价表</w:t>
      </w:r>
    </w:p>
    <w:p w14:paraId="4D7597AE">
      <w:pPr>
        <w:pStyle w:val="6"/>
        <w:spacing w:beforeAutospacing="0" w:afterAutospacing="0" w:line="0" w:lineRule="atLeast"/>
        <w:ind w:firstLine="480"/>
        <w:jc w:val="both"/>
      </w:pPr>
      <w:r>
        <w:rPr>
          <w:rFonts w:hint="eastAsia" w:ascii="宋体" w:hAnsi="宋体" w:eastAsia="宋体" w:cs="宋体"/>
          <w:color w:val="000000"/>
        </w:rPr>
        <w:t>12.1供应商应按照谈判文件规定格式填报分项报价表。</w:t>
      </w:r>
    </w:p>
    <w:p w14:paraId="383E3B6B">
      <w:pPr>
        <w:pStyle w:val="6"/>
        <w:spacing w:beforeAutospacing="0" w:afterAutospacing="0" w:line="0" w:lineRule="atLeast"/>
        <w:ind w:firstLine="480"/>
        <w:jc w:val="both"/>
      </w:pPr>
      <w:r>
        <w:rPr>
          <w:rFonts w:hint="eastAsia" w:ascii="宋体" w:hAnsi="宋体" w:eastAsia="宋体" w:cs="宋体"/>
          <w:color w:val="000000"/>
        </w:rPr>
        <w:t>12.2谈判货币。响应文件中的单价和总价无特殊规定的采用人民币报价，以元为单位标注。谈判文件中另有规定的按规定执行。</w:t>
      </w:r>
    </w:p>
    <w:p w14:paraId="28A5FD27">
      <w:pPr>
        <w:pStyle w:val="6"/>
        <w:keepNext/>
        <w:keepLines/>
        <w:spacing w:beforeAutospacing="0" w:afterAutospacing="0"/>
        <w:ind w:firstLine="420"/>
        <w:jc w:val="both"/>
      </w:pPr>
      <w:bookmarkStart w:id="91" w:name="_Hlt26954848"/>
      <w:bookmarkStart w:id="92" w:name="_Hlt26954731"/>
      <w:bookmarkStart w:id="93" w:name="_Hlt26670482"/>
      <w:bookmarkStart w:id="94" w:name="_Hlt26670486"/>
      <w:bookmarkStart w:id="95" w:name="_Hlt26954846"/>
      <w:r>
        <w:rPr>
          <w:rFonts w:ascii="Arial" w:hAnsi="Arial" w:cs="Arial"/>
          <w:color w:val="000000"/>
          <w:sz w:val="28"/>
          <w:szCs w:val="28"/>
        </w:rPr>
        <w:t>13、技术要求响应及偏离表、商务要求响应及偏离表</w:t>
      </w:r>
    </w:p>
    <w:p w14:paraId="5812EC34">
      <w:pPr>
        <w:pStyle w:val="6"/>
        <w:spacing w:beforeAutospacing="0" w:afterAutospacing="0" w:line="0" w:lineRule="atLeast"/>
        <w:ind w:firstLine="480"/>
        <w:jc w:val="both"/>
      </w:pPr>
      <w:r>
        <w:rPr>
          <w:rFonts w:hint="eastAsia" w:ascii="宋体" w:hAnsi="宋体" w:eastAsia="宋体" w:cs="宋体"/>
          <w:color w:val="000000"/>
        </w:rPr>
        <w:t>13.1供应商需对谈判文件中的技术要求与商务要求逐项作出响应或偏离，并说明原因。</w:t>
      </w:r>
    </w:p>
    <w:p w14:paraId="05884609">
      <w:pPr>
        <w:pStyle w:val="6"/>
        <w:spacing w:beforeAutospacing="0" w:afterAutospacing="0" w:line="0" w:lineRule="atLeast"/>
        <w:ind w:firstLine="480"/>
        <w:jc w:val="both"/>
      </w:pPr>
      <w:r>
        <w:rPr>
          <w:rFonts w:hint="eastAsia" w:ascii="宋体" w:hAnsi="宋体" w:eastAsia="宋体" w:cs="宋体"/>
          <w:color w:val="000000"/>
        </w:rPr>
        <w:t>13.2供应商可在响应文件中提供认为需要的其他技术文件或说明。</w:t>
      </w:r>
    </w:p>
    <w:p w14:paraId="13140B97">
      <w:pPr>
        <w:pStyle w:val="6"/>
        <w:keepNext/>
        <w:keepLines/>
        <w:spacing w:beforeAutospacing="0" w:afterAutospacing="0"/>
        <w:ind w:firstLine="420"/>
        <w:jc w:val="both"/>
      </w:pPr>
      <w:r>
        <w:rPr>
          <w:rFonts w:ascii="Arial" w:hAnsi="Arial" w:cs="Arial"/>
          <w:color w:val="000000"/>
          <w:sz w:val="28"/>
          <w:szCs w:val="28"/>
        </w:rPr>
        <w:t>14、服务承诺、培训计划、人员安排及其他</w:t>
      </w:r>
    </w:p>
    <w:p w14:paraId="4654E0BA">
      <w:pPr>
        <w:pStyle w:val="6"/>
        <w:spacing w:beforeAutospacing="0" w:afterAutospacing="0" w:line="0" w:lineRule="atLeast"/>
        <w:ind w:firstLine="480"/>
        <w:jc w:val="both"/>
      </w:pPr>
      <w:r>
        <w:rPr>
          <w:rFonts w:hint="eastAsia" w:ascii="宋体" w:hAnsi="宋体" w:eastAsia="宋体" w:cs="宋体"/>
          <w:color w:val="000000"/>
        </w:rPr>
        <w:t>14.1供应商需根据谈判文件要求提供有关售后服务的管理制度，售后服务机构的分布情况，售后服务人员的数量、素质、技术水平及售后服务的反应能力等。</w:t>
      </w:r>
    </w:p>
    <w:p w14:paraId="2BCFA026">
      <w:pPr>
        <w:pStyle w:val="6"/>
        <w:spacing w:beforeAutospacing="0" w:afterAutospacing="0" w:line="0" w:lineRule="atLeast"/>
        <w:ind w:firstLine="480"/>
        <w:jc w:val="both"/>
      </w:pPr>
      <w:r>
        <w:rPr>
          <w:rFonts w:hint="eastAsia" w:ascii="宋体" w:hAnsi="宋体" w:eastAsia="宋体" w:cs="宋体"/>
          <w:color w:val="000000"/>
        </w:rPr>
        <w:t>14.2供应商需根据谈判文件要求提供培训计划。</w:t>
      </w:r>
    </w:p>
    <w:p w14:paraId="546E545E">
      <w:pPr>
        <w:pStyle w:val="6"/>
        <w:spacing w:beforeAutospacing="0" w:afterAutospacing="0" w:line="0" w:lineRule="atLeast"/>
        <w:ind w:firstLine="480"/>
        <w:jc w:val="both"/>
      </w:pPr>
      <w:r>
        <w:rPr>
          <w:rFonts w:hint="eastAsia" w:ascii="宋体" w:hAnsi="宋体" w:eastAsia="宋体" w:cs="宋体"/>
          <w:color w:val="000000"/>
        </w:rPr>
        <w:t>14.3供应商需根据谈判文件要求提供谈判响应标的的主要组成部分、功能设计、实现思路及关键技术等。</w:t>
      </w:r>
    </w:p>
    <w:p w14:paraId="27C204E7">
      <w:pPr>
        <w:pStyle w:val="6"/>
        <w:keepNext/>
        <w:keepLines/>
        <w:spacing w:beforeAutospacing="0" w:afterAutospacing="0"/>
        <w:ind w:firstLine="420"/>
        <w:jc w:val="both"/>
      </w:pPr>
      <w:bookmarkStart w:id="96" w:name="_Toc49090510"/>
      <w:bookmarkStart w:id="97" w:name="_Toc14577359"/>
      <w:r>
        <w:rPr>
          <w:rFonts w:ascii="Arial" w:hAnsi="Arial" w:cs="Arial"/>
          <w:color w:val="000000"/>
          <w:sz w:val="28"/>
          <w:szCs w:val="28"/>
        </w:rPr>
        <w:t>15、谈判响应函</w:t>
      </w:r>
      <w:bookmarkEnd w:id="96"/>
      <w:bookmarkEnd w:id="97"/>
    </w:p>
    <w:p w14:paraId="38A4907F">
      <w:pPr>
        <w:pStyle w:val="6"/>
        <w:spacing w:beforeAutospacing="0" w:afterAutospacing="0" w:line="0" w:lineRule="atLeast"/>
        <w:ind w:firstLine="480"/>
        <w:jc w:val="both"/>
      </w:pPr>
      <w:r>
        <w:rPr>
          <w:rFonts w:hint="eastAsia" w:ascii="宋体" w:hAnsi="宋体" w:eastAsia="宋体" w:cs="宋体"/>
          <w:color w:val="000000"/>
        </w:rPr>
        <w:t>15.1供应商应按照谈判文件中提供的格式完整、正确填写谈判响应函。</w:t>
      </w:r>
    </w:p>
    <w:p w14:paraId="31D5B473">
      <w:pPr>
        <w:pStyle w:val="6"/>
        <w:keepNext/>
        <w:keepLines/>
        <w:spacing w:beforeAutospacing="0" w:afterAutospacing="0"/>
        <w:ind w:firstLine="420"/>
        <w:jc w:val="both"/>
      </w:pPr>
      <w:bookmarkStart w:id="98" w:name="_Toc49090511"/>
      <w:bookmarkStart w:id="99" w:name="_Toc14577360"/>
      <w:r>
        <w:rPr>
          <w:rFonts w:ascii="Arial" w:hAnsi="Arial" w:cs="Arial"/>
          <w:color w:val="000000"/>
          <w:sz w:val="28"/>
          <w:szCs w:val="28"/>
        </w:rPr>
        <w:t>16、谈判有效期</w:t>
      </w:r>
      <w:bookmarkEnd w:id="98"/>
      <w:bookmarkEnd w:id="99"/>
    </w:p>
    <w:p w14:paraId="0982E8EE">
      <w:pPr>
        <w:pStyle w:val="6"/>
        <w:spacing w:beforeAutospacing="0" w:afterAutospacing="0" w:line="0" w:lineRule="atLeast"/>
        <w:ind w:firstLine="480"/>
        <w:jc w:val="both"/>
      </w:pPr>
      <w:r>
        <w:rPr>
          <w:rFonts w:hint="eastAsia" w:ascii="宋体" w:hAnsi="宋体" w:eastAsia="宋体" w:cs="宋体"/>
          <w:color w:val="000000"/>
        </w:rPr>
        <w:t>16.1谈判有效期为采购中心规定的提交响应文件截止之日后</w:t>
      </w:r>
      <w:r>
        <w:rPr>
          <w:rFonts w:ascii="仿宋_GB2312" w:eastAsia="仿宋_GB2312" w:cs="仿宋_GB2312"/>
          <w:b/>
          <w:color w:val="000000"/>
          <w:u w:val="single"/>
        </w:rPr>
        <w:t>六十（60）天</w:t>
      </w:r>
      <w:r>
        <w:rPr>
          <w:rFonts w:hint="eastAsia" w:ascii="宋体" w:hAnsi="宋体" w:eastAsia="宋体" w:cs="宋体"/>
          <w:color w:val="000000"/>
        </w:rPr>
        <w:t>。谈判有效期比规定短的将被视为非实质性响应谈判文件而予以拒绝。</w:t>
      </w:r>
    </w:p>
    <w:p w14:paraId="1CA3446A">
      <w:pPr>
        <w:pStyle w:val="6"/>
        <w:keepNext/>
        <w:keepLines/>
        <w:spacing w:beforeAutospacing="0" w:afterAutospacing="0"/>
        <w:ind w:firstLine="420"/>
        <w:jc w:val="both"/>
      </w:pPr>
      <w:r>
        <w:rPr>
          <w:rFonts w:ascii="Arial" w:hAnsi="Arial" w:cs="Arial"/>
          <w:color w:val="000000"/>
          <w:sz w:val="28"/>
          <w:szCs w:val="28"/>
        </w:rPr>
        <w:t>17、谈判有效期的延长</w:t>
      </w:r>
    </w:p>
    <w:p w14:paraId="182BF99B">
      <w:pPr>
        <w:pStyle w:val="6"/>
        <w:spacing w:beforeAutospacing="0" w:afterAutospacing="0" w:line="0" w:lineRule="atLeast"/>
        <w:ind w:firstLine="480"/>
        <w:jc w:val="both"/>
      </w:pPr>
      <w:r>
        <w:rPr>
          <w:rFonts w:hint="eastAsia" w:ascii="宋体" w:hAnsi="宋体" w:eastAsia="宋体" w:cs="宋体"/>
          <w:color w:val="000000"/>
        </w:rPr>
        <w:t>17.1在特殊情况下，采购中心于原谈判有效期满之前，可向供应商提出延长谈判有效期的要求。这种要求与答复均应采用书面形式。供应商可以拒绝采购中心的这一要求而放弃谈判，同意延长谈判有效期的供应商既不能要求也不允许修改其响应文件。受谈判有效期约束的所有权利与义务均延长至新的有效期。</w:t>
      </w:r>
    </w:p>
    <w:p w14:paraId="3BC3C6DB">
      <w:pPr>
        <w:pStyle w:val="6"/>
        <w:keepNext/>
        <w:keepLines/>
        <w:spacing w:before="145" w:beforeAutospacing="0" w:after="145" w:afterAutospacing="0" w:line="360" w:lineRule="auto"/>
        <w:ind w:firstLine="482"/>
        <w:jc w:val="both"/>
      </w:pPr>
      <w:bookmarkStart w:id="100" w:name="_Toc120614217"/>
      <w:bookmarkStart w:id="101" w:name="_Toc513029224"/>
      <w:bookmarkStart w:id="102" w:name="_Toc20823296"/>
      <w:bookmarkStart w:id="103" w:name="_Toc16938540"/>
      <w:bookmarkStart w:id="104" w:name="_Hlt26954852"/>
      <w:bookmarkStart w:id="105" w:name="_Hlt26954739"/>
      <w:r>
        <w:rPr>
          <w:rFonts w:ascii="Times New Roman" w:hAnsi="Times New Roman"/>
          <w:b/>
          <w:color w:val="000000"/>
          <w:sz w:val="32"/>
          <w:szCs w:val="32"/>
        </w:rPr>
        <w:t>四、响应文件的递交</w:t>
      </w:r>
      <w:bookmarkEnd w:id="100"/>
      <w:bookmarkEnd w:id="101"/>
      <w:bookmarkEnd w:id="102"/>
      <w:bookmarkEnd w:id="103"/>
    </w:p>
    <w:p w14:paraId="65620D2D">
      <w:pPr>
        <w:pStyle w:val="6"/>
        <w:keepNext/>
        <w:keepLines/>
        <w:spacing w:beforeAutospacing="0" w:afterAutospacing="0"/>
        <w:ind w:firstLine="560"/>
        <w:jc w:val="both"/>
      </w:pPr>
      <w:bookmarkStart w:id="106" w:name="_Toc462564084"/>
      <w:bookmarkStart w:id="107" w:name="_Toc16938541"/>
      <w:bookmarkStart w:id="108" w:name="_Toc513029225"/>
      <w:bookmarkStart w:id="109" w:name="_Toc20823297"/>
      <w:r>
        <w:rPr>
          <w:rFonts w:ascii="Arial" w:hAnsi="Arial" w:cs="Arial"/>
          <w:color w:val="000000"/>
          <w:sz w:val="28"/>
          <w:szCs w:val="28"/>
        </w:rPr>
        <w:t>18、电子</w:t>
      </w:r>
      <w:r>
        <w:rPr>
          <w:rFonts w:hint="eastAsia" w:ascii="黑体" w:hAnsi="宋体" w:eastAsia="黑体" w:cs="黑体"/>
          <w:color w:val="000000"/>
          <w:sz w:val="28"/>
          <w:szCs w:val="28"/>
        </w:rPr>
        <w:t>谈判</w:t>
      </w:r>
      <w:bookmarkEnd w:id="106"/>
      <w:bookmarkEnd w:id="107"/>
      <w:bookmarkEnd w:id="108"/>
      <w:bookmarkEnd w:id="109"/>
      <w:r>
        <w:rPr>
          <w:rFonts w:hint="eastAsia" w:ascii="黑体" w:hAnsi="宋体" w:eastAsia="黑体" w:cs="黑体"/>
          <w:color w:val="000000"/>
          <w:sz w:val="28"/>
          <w:szCs w:val="28"/>
        </w:rPr>
        <w:t>响应文件的递交</w:t>
      </w:r>
    </w:p>
    <w:p w14:paraId="3E9C6935">
      <w:pPr>
        <w:pStyle w:val="6"/>
        <w:spacing w:beforeAutospacing="0" w:afterAutospacing="0"/>
        <w:ind w:firstLine="600"/>
        <w:jc w:val="both"/>
      </w:pPr>
      <w:r>
        <w:rPr>
          <w:rFonts w:hint="eastAsia" w:ascii="宋体" w:hAnsi="宋体" w:eastAsia="宋体" w:cs="宋体"/>
          <w:color w:val="000000"/>
        </w:rPr>
        <w:t>18.1供应商应当按照《操作手册》规定，在提交响应文件截止时间前制作并上传电子响应文件。</w:t>
      </w:r>
      <w:bookmarkStart w:id="110" w:name="_Toc16938542"/>
      <w:bookmarkEnd w:id="110"/>
      <w:bookmarkStart w:id="111" w:name="_Toc20823298"/>
      <w:bookmarkEnd w:id="111"/>
      <w:bookmarkStart w:id="112" w:name="_Toc513029226"/>
    </w:p>
    <w:p w14:paraId="094E8FD3">
      <w:pPr>
        <w:pStyle w:val="6"/>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38A12E1A">
      <w:pPr>
        <w:pStyle w:val="6"/>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19.1供应商上传电子响应文件的时间不得迟于谈判公告中规定的提交响应文件截止时间。</w:t>
      </w:r>
    </w:p>
    <w:p w14:paraId="45BEDF0D">
      <w:pPr>
        <w:pStyle w:val="6"/>
        <w:spacing w:beforeAutospacing="0" w:afterAutospacing="0" w:line="0" w:lineRule="atLeast"/>
        <w:ind w:firstLine="480"/>
        <w:jc w:val="both"/>
      </w:pPr>
      <w:r>
        <w:rPr>
          <w:rFonts w:hint="eastAsia" w:ascii="宋体" w:hAnsi="宋体" w:eastAsia="宋体" w:cs="宋体"/>
          <w:color w:val="000000"/>
        </w:rPr>
        <w:t>供应商应充分考虑到网络环境、网络带宽等风险因素，如因供应商自身原因造成的电子响应文件上传不成功的按照本谈判文件第二章第26.3.2条规定做无效响应处理。</w:t>
      </w:r>
    </w:p>
    <w:p w14:paraId="6B786264">
      <w:pPr>
        <w:pStyle w:val="6"/>
        <w:spacing w:beforeAutospacing="0" w:afterAutospacing="0" w:line="0" w:lineRule="atLeast"/>
        <w:ind w:firstLine="480"/>
        <w:jc w:val="both"/>
      </w:pPr>
      <w:r>
        <w:rPr>
          <w:rFonts w:hint="eastAsia" w:ascii="宋体" w:hAnsi="宋体" w:eastAsia="宋体" w:cs="宋体"/>
          <w:color w:val="000000"/>
        </w:rPr>
        <w:t>19.2 采购中心可以按照规定，通过修改谈判文件酌情延长提交响应文件截止日期，在此情况下，供应商的所有权利和义务以及供应商受制的截止日期均应以延长后新的截止日期为准。</w:t>
      </w:r>
    </w:p>
    <w:p w14:paraId="3289257C">
      <w:pPr>
        <w:pStyle w:val="6"/>
        <w:keepNext/>
        <w:keepLines/>
        <w:spacing w:beforeAutospacing="0" w:afterAutospacing="0"/>
        <w:ind w:firstLine="420"/>
        <w:jc w:val="both"/>
      </w:pPr>
      <w:bookmarkStart w:id="113" w:name="_Toc20823299"/>
      <w:bookmarkStart w:id="114" w:name="_Toc16938543"/>
      <w:bookmarkStart w:id="115" w:name="_Toc513029227"/>
      <w:r>
        <w:rPr>
          <w:rFonts w:ascii="Arial" w:hAnsi="Arial" w:cs="Arial"/>
          <w:color w:val="000000"/>
          <w:sz w:val="28"/>
          <w:szCs w:val="28"/>
        </w:rPr>
        <w:t>20、响应文件</w:t>
      </w:r>
      <w:bookmarkEnd w:id="113"/>
      <w:bookmarkEnd w:id="114"/>
      <w:bookmarkEnd w:id="115"/>
      <w:r>
        <w:rPr>
          <w:rFonts w:ascii="Arial" w:hAnsi="Arial" w:cs="Arial"/>
          <w:color w:val="000000"/>
          <w:sz w:val="28"/>
          <w:szCs w:val="28"/>
        </w:rPr>
        <w:t>的拒收</w:t>
      </w:r>
    </w:p>
    <w:p w14:paraId="3AAB5FDE">
      <w:pPr>
        <w:pStyle w:val="6"/>
        <w:spacing w:beforeAutospacing="0" w:afterAutospacing="0" w:line="0" w:lineRule="atLeast"/>
        <w:ind w:firstLine="480"/>
        <w:jc w:val="both"/>
      </w:pPr>
      <w:r>
        <w:rPr>
          <w:rFonts w:hint="eastAsia" w:ascii="宋体" w:hAnsi="宋体" w:eastAsia="宋体" w:cs="宋体"/>
          <w:color w:val="000000"/>
        </w:rPr>
        <w:t>20.1 采购中心拒绝接收在其规定的提交响应文件截止时间后上传的任何电子响应文件。</w:t>
      </w:r>
    </w:p>
    <w:p w14:paraId="7524FCFF">
      <w:pPr>
        <w:pStyle w:val="6"/>
        <w:keepNext/>
        <w:keepLines/>
        <w:spacing w:beforeAutospacing="0" w:afterAutospacing="0"/>
        <w:ind w:firstLine="420"/>
        <w:jc w:val="both"/>
      </w:pPr>
      <w:bookmarkStart w:id="116" w:name="_Toc513029228"/>
      <w:bookmarkStart w:id="117" w:name="_Toc20823300"/>
      <w:bookmarkStart w:id="118" w:name="_Toc16938544"/>
      <w:r>
        <w:rPr>
          <w:rFonts w:ascii="Arial" w:hAnsi="Arial" w:cs="Arial"/>
          <w:color w:val="000000"/>
          <w:sz w:val="28"/>
          <w:szCs w:val="28"/>
        </w:rPr>
        <w:t>21、响应文件的撤回和修改</w:t>
      </w:r>
      <w:bookmarkEnd w:id="116"/>
      <w:bookmarkEnd w:id="117"/>
      <w:bookmarkEnd w:id="118"/>
    </w:p>
    <w:p w14:paraId="4A0ED5D1">
      <w:pPr>
        <w:pStyle w:val="6"/>
        <w:spacing w:beforeAutospacing="0" w:afterAutospacing="0" w:line="0" w:lineRule="atLeast"/>
        <w:ind w:firstLine="480"/>
        <w:jc w:val="both"/>
      </w:pPr>
      <w:r>
        <w:rPr>
          <w:rFonts w:hint="eastAsia" w:ascii="宋体" w:hAnsi="宋体" w:eastAsia="宋体" w:cs="宋体"/>
          <w:color w:val="000000"/>
        </w:rPr>
        <w:t>21.1响应文件的撤回</w:t>
      </w:r>
    </w:p>
    <w:p w14:paraId="475E1400">
      <w:pPr>
        <w:pStyle w:val="6"/>
        <w:spacing w:beforeAutospacing="0" w:afterAutospacing="0" w:line="0" w:lineRule="atLeast"/>
        <w:ind w:firstLine="480"/>
        <w:jc w:val="both"/>
      </w:pPr>
      <w:r>
        <w:rPr>
          <w:rFonts w:hint="eastAsia" w:ascii="宋体" w:hAnsi="宋体" w:eastAsia="宋体" w:cs="宋体"/>
          <w:color w:val="000000"/>
        </w:rPr>
        <w:t>21.1.1 电子响应文件的撤回</w:t>
      </w:r>
    </w:p>
    <w:p w14:paraId="0689A0E4">
      <w:pPr>
        <w:pStyle w:val="6"/>
        <w:spacing w:beforeAutospacing="0" w:afterAutospacing="0" w:line="0" w:lineRule="atLeast"/>
        <w:ind w:firstLine="480"/>
        <w:jc w:val="both"/>
      </w:pPr>
      <w:r>
        <w:rPr>
          <w:rFonts w:hint="eastAsia" w:ascii="宋体" w:hAnsi="宋体" w:eastAsia="宋体" w:cs="宋体"/>
          <w:color w:val="000000"/>
        </w:rPr>
        <w:t>供应商可在提交响应文件截止时间前，撤回其电子响应文件，具体操作方法见《操作手册》。</w:t>
      </w:r>
    </w:p>
    <w:p w14:paraId="02E22BB3">
      <w:pPr>
        <w:pStyle w:val="6"/>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21.1.2供应商撤回电子响应文件，则认为其不再参与本项目谈判活动。</w:t>
      </w:r>
    </w:p>
    <w:p w14:paraId="36C73155">
      <w:pPr>
        <w:pStyle w:val="6"/>
        <w:spacing w:beforeAutospacing="0" w:afterAutospacing="0" w:line="0" w:lineRule="atLeast"/>
        <w:ind w:firstLine="480"/>
        <w:jc w:val="both"/>
      </w:pPr>
      <w:r>
        <w:rPr>
          <w:rFonts w:hint="eastAsia" w:ascii="宋体" w:hAnsi="宋体" w:eastAsia="宋体" w:cs="宋体"/>
          <w:color w:val="000000"/>
        </w:rPr>
        <w:t>21.2响应文件的修改</w:t>
      </w:r>
    </w:p>
    <w:p w14:paraId="71068F94">
      <w:pPr>
        <w:pStyle w:val="6"/>
        <w:spacing w:beforeAutospacing="0" w:afterAutospacing="0" w:line="0" w:lineRule="atLeast"/>
        <w:ind w:firstLine="480"/>
        <w:jc w:val="both"/>
      </w:pPr>
      <w:r>
        <w:rPr>
          <w:rFonts w:hint="eastAsia" w:ascii="宋体" w:hAnsi="宋体" w:eastAsia="宋体" w:cs="宋体"/>
          <w:color w:val="000000"/>
        </w:rPr>
        <w:t>供应商可在提交响应文件截止时间前，对其电子响应文件进行修改，具体操作方法见《操作手册》。</w:t>
      </w:r>
    </w:p>
    <w:p w14:paraId="7D1CED62">
      <w:pPr>
        <w:pStyle w:val="6"/>
        <w:spacing w:beforeAutospacing="0" w:afterAutospacing="0" w:line="0" w:lineRule="atLeast"/>
        <w:ind w:firstLine="480"/>
        <w:jc w:val="both"/>
      </w:pPr>
      <w:r>
        <w:rPr>
          <w:rFonts w:hint="eastAsia" w:ascii="宋体" w:hAnsi="宋体" w:eastAsia="宋体" w:cs="宋体"/>
          <w:color w:val="000000"/>
        </w:rPr>
        <w:t>21.3 在提交响应文件截止时间之后，供应商不得对其电子响应文件作任何修改。</w:t>
      </w:r>
    </w:p>
    <w:p w14:paraId="7BB1052A">
      <w:pPr>
        <w:pStyle w:val="6"/>
        <w:spacing w:beforeAutospacing="0" w:afterAutospacing="0" w:line="0" w:lineRule="atLeast"/>
        <w:ind w:firstLine="480"/>
        <w:jc w:val="both"/>
      </w:pPr>
      <w:r>
        <w:rPr>
          <w:rFonts w:hint="eastAsia" w:ascii="宋体" w:hAnsi="宋体" w:eastAsia="宋体" w:cs="宋体"/>
          <w:color w:val="000000"/>
        </w:rPr>
        <w:t>21.4 在提交响应文件截止时间至谈判文件中规定的谈判有效期满之间的这段时间内，供应商不得撤回其响应文件。</w:t>
      </w:r>
    </w:p>
    <w:p w14:paraId="081105F9">
      <w:pPr>
        <w:pStyle w:val="6"/>
        <w:keepNext/>
        <w:keepLines/>
        <w:spacing w:before="145" w:beforeAutospacing="0" w:after="145" w:afterAutospacing="0" w:line="360" w:lineRule="auto"/>
        <w:ind w:firstLine="482"/>
        <w:jc w:val="both"/>
      </w:pPr>
      <w:bookmarkStart w:id="119" w:name="_Toc16938545"/>
      <w:bookmarkStart w:id="120" w:name="_Toc513029229"/>
      <w:bookmarkStart w:id="121" w:name="_Toc120614218"/>
      <w:bookmarkStart w:id="122" w:name="_Toc20823301"/>
      <w:r>
        <w:rPr>
          <w:rFonts w:ascii="Times New Roman" w:hAnsi="Times New Roman"/>
          <w:b/>
          <w:color w:val="000000"/>
          <w:sz w:val="32"/>
          <w:szCs w:val="32"/>
        </w:rPr>
        <w:t>五、响应文件的解密与评审</w:t>
      </w:r>
      <w:bookmarkEnd w:id="119"/>
      <w:bookmarkEnd w:id="120"/>
      <w:bookmarkEnd w:id="121"/>
      <w:bookmarkEnd w:id="122"/>
    </w:p>
    <w:p w14:paraId="1C75B859">
      <w:pPr>
        <w:pStyle w:val="6"/>
        <w:keepNext/>
        <w:keepLines/>
        <w:spacing w:beforeAutospacing="0" w:afterAutospacing="0"/>
        <w:ind w:firstLine="420"/>
        <w:jc w:val="both"/>
        <w:rPr>
          <w:color w:val="auto"/>
        </w:rPr>
      </w:pPr>
      <w:bookmarkStart w:id="123" w:name="_Toc20823302"/>
      <w:bookmarkStart w:id="124" w:name="_Toc513029230"/>
      <w:bookmarkStart w:id="125" w:name="_Toc16938546"/>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7ADD4E0A">
      <w:pPr>
        <w:pStyle w:val="6"/>
        <w:spacing w:beforeAutospacing="0" w:afterAutospacing="0"/>
        <w:ind w:firstLine="360"/>
        <w:jc w:val="both"/>
        <w:rPr>
          <w:color w:val="auto"/>
        </w:rPr>
      </w:pPr>
      <w:r>
        <w:rPr>
          <w:rFonts w:hint="eastAsia" w:ascii="宋体" w:hAnsi="宋体" w:eastAsia="宋体" w:cs="宋体"/>
          <w:color w:val="auto"/>
        </w:rPr>
        <w:t>22.1供应商应当按照《操作手册》规定，在苏采云系统规定的时间内对谈判响应文件进行解密。</w:t>
      </w:r>
    </w:p>
    <w:p w14:paraId="26428EBC">
      <w:pPr>
        <w:pStyle w:val="6"/>
        <w:keepNext/>
        <w:keepLines/>
        <w:spacing w:beforeAutospacing="0" w:afterAutospacing="0"/>
        <w:ind w:firstLine="420"/>
        <w:jc w:val="both"/>
        <w:rPr>
          <w:color w:val="auto"/>
        </w:rPr>
      </w:pPr>
      <w:bookmarkStart w:id="126" w:name="_Toc20823303"/>
      <w:bookmarkStart w:id="127" w:name="_Toc16938547"/>
      <w:bookmarkStart w:id="128" w:name="_Toc513029231"/>
      <w:r>
        <w:rPr>
          <w:rFonts w:ascii="Arial" w:hAnsi="Arial" w:cs="Arial"/>
          <w:color w:val="auto"/>
          <w:sz w:val="28"/>
          <w:szCs w:val="28"/>
        </w:rPr>
        <w:t>23、谈判小组</w:t>
      </w:r>
      <w:bookmarkEnd w:id="126"/>
      <w:bookmarkEnd w:id="127"/>
      <w:bookmarkEnd w:id="128"/>
    </w:p>
    <w:p w14:paraId="0DD36BFB">
      <w:pPr>
        <w:pStyle w:val="6"/>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23.1采购中心将组织谈判小组对响应文件进行评审。谈判小组由采购人代表和有关技术、经济等方面的专家组成，且人员构成符合政府采购有关规定。</w:t>
      </w:r>
    </w:p>
    <w:p w14:paraId="16A6D73F">
      <w:pPr>
        <w:pStyle w:val="6"/>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23.2谈判小组独立工作，负责评审所有响应文件并确定成交侯选人。</w:t>
      </w:r>
    </w:p>
    <w:p w14:paraId="2D6E2438">
      <w:pPr>
        <w:pStyle w:val="6"/>
        <w:keepNext/>
        <w:keepLines/>
        <w:spacing w:beforeAutospacing="0" w:afterAutospacing="0"/>
        <w:ind w:firstLine="420"/>
        <w:jc w:val="both"/>
        <w:rPr>
          <w:color w:val="auto"/>
        </w:rPr>
      </w:pPr>
      <w:r>
        <w:rPr>
          <w:rFonts w:hint="eastAsia" w:ascii="黑体" w:hAnsi="宋体" w:eastAsia="黑体" w:cs="黑体"/>
          <w:color w:val="auto"/>
          <w:sz w:val="28"/>
          <w:szCs w:val="28"/>
        </w:rPr>
        <w:t>24、评审过程的保密与公正</w:t>
      </w:r>
    </w:p>
    <w:p w14:paraId="4A5310AF">
      <w:pPr>
        <w:pStyle w:val="6"/>
        <w:spacing w:beforeAutospacing="0" w:afterAutospacing="0" w:line="0" w:lineRule="atLeast"/>
        <w:ind w:firstLine="480"/>
        <w:jc w:val="both"/>
        <w:rPr>
          <w:color w:val="auto"/>
        </w:rPr>
      </w:pPr>
      <w:r>
        <w:rPr>
          <w:rFonts w:hint="eastAsia" w:ascii="宋体" w:hAnsi="宋体" w:eastAsia="宋体" w:cs="宋体"/>
          <w:color w:val="auto"/>
        </w:rPr>
        <w:t>24.1谈判小组、采购人和采购中心工作人员、相关监督人员等与评审工作有关的人员，对评审情况以及在评审过程中获悉的国家秘密、商业秘密负有保密责任。</w:t>
      </w:r>
    </w:p>
    <w:p w14:paraId="07952E1A">
      <w:pPr>
        <w:pStyle w:val="6"/>
        <w:spacing w:beforeAutospacing="0" w:afterAutospacing="0" w:line="0" w:lineRule="atLeast"/>
        <w:ind w:firstLine="480"/>
        <w:jc w:val="both"/>
        <w:rPr>
          <w:color w:val="auto"/>
        </w:rPr>
      </w:pPr>
      <w:r>
        <w:rPr>
          <w:rFonts w:hint="eastAsia" w:ascii="宋体" w:hAnsi="宋体" w:eastAsia="宋体" w:cs="宋体"/>
          <w:color w:val="auto"/>
        </w:rPr>
        <w:t>24.2在评审过程中，供应商不得以任何行为影响谈判评审过程，否则其响应文件将被作为无效响应文件。</w:t>
      </w:r>
    </w:p>
    <w:p w14:paraId="0B5E2366">
      <w:pPr>
        <w:pStyle w:val="6"/>
        <w:spacing w:beforeAutospacing="0" w:afterAutospacing="0" w:line="0" w:lineRule="atLeast"/>
        <w:ind w:firstLine="480"/>
        <w:jc w:val="both"/>
        <w:rPr>
          <w:color w:val="auto"/>
        </w:rPr>
      </w:pPr>
      <w:r>
        <w:rPr>
          <w:rFonts w:hint="eastAsia" w:ascii="宋体" w:hAnsi="宋体" w:eastAsia="宋体" w:cs="宋体"/>
          <w:color w:val="auto"/>
        </w:rPr>
        <w:t>24.3在项目评审期间，采购中心将设专门人员与供应商联系。</w:t>
      </w:r>
    </w:p>
    <w:p w14:paraId="13C61A76">
      <w:pPr>
        <w:pStyle w:val="6"/>
        <w:spacing w:beforeAutospacing="0" w:afterAutospacing="0" w:line="0" w:lineRule="atLeast"/>
        <w:ind w:firstLine="480"/>
        <w:jc w:val="both"/>
        <w:rPr>
          <w:color w:val="auto"/>
        </w:rPr>
      </w:pPr>
      <w:r>
        <w:rPr>
          <w:rFonts w:hint="eastAsia" w:ascii="宋体" w:hAnsi="宋体" w:eastAsia="宋体" w:cs="宋体"/>
          <w:color w:val="auto"/>
        </w:rPr>
        <w:t>24.4 采购中心和谈判小组不向未成交的供应商解释未成交原因，也不公布评审过程中的相关细节。</w:t>
      </w:r>
    </w:p>
    <w:p w14:paraId="04BE1BD0">
      <w:pPr>
        <w:pStyle w:val="6"/>
        <w:keepNext/>
        <w:keepLines/>
        <w:spacing w:beforeAutospacing="0" w:afterAutospacing="0"/>
        <w:ind w:firstLine="420"/>
        <w:jc w:val="both"/>
        <w:rPr>
          <w:color w:val="auto"/>
        </w:rPr>
      </w:pPr>
      <w:bookmarkStart w:id="129" w:name="_Toc16938548"/>
      <w:bookmarkStart w:id="130" w:name="_Toc20823304"/>
      <w:bookmarkStart w:id="131" w:name="_Toc513029232"/>
      <w:r>
        <w:rPr>
          <w:rFonts w:ascii="Arial" w:hAnsi="Arial" w:cs="Arial"/>
          <w:color w:val="auto"/>
          <w:sz w:val="28"/>
          <w:szCs w:val="28"/>
        </w:rPr>
        <w:t>25、评审过程中的的澄清</w:t>
      </w:r>
      <w:bookmarkEnd w:id="129"/>
      <w:bookmarkEnd w:id="130"/>
      <w:bookmarkEnd w:id="131"/>
    </w:p>
    <w:p w14:paraId="70DDE505">
      <w:pPr>
        <w:pStyle w:val="6"/>
        <w:spacing w:beforeAutospacing="0" w:afterAutospacing="0" w:line="0" w:lineRule="atLeast"/>
        <w:ind w:firstLine="480"/>
        <w:jc w:val="both"/>
        <w:rPr>
          <w:color w:val="auto"/>
        </w:rPr>
      </w:pPr>
      <w:r>
        <w:rPr>
          <w:rFonts w:hint="eastAsia" w:ascii="宋体" w:hAnsi="宋体" w:eastAsia="宋体" w:cs="宋体"/>
          <w:color w:val="auto"/>
        </w:rPr>
        <w:t>25.1项目评审期间，谈判小组有权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43A8E87C">
      <w:pPr>
        <w:pStyle w:val="6"/>
        <w:spacing w:beforeAutospacing="0" w:afterAutospacing="0" w:line="0" w:lineRule="atLeast"/>
        <w:ind w:firstLine="480"/>
        <w:jc w:val="both"/>
        <w:rPr>
          <w:color w:val="auto"/>
        </w:rPr>
      </w:pPr>
      <w:r>
        <w:rPr>
          <w:rFonts w:hint="eastAsia" w:ascii="宋体" w:hAnsi="宋体" w:eastAsia="宋体" w:cs="宋体"/>
          <w:color w:val="auto"/>
        </w:rPr>
        <w:t>谈判小组并非对每个供应商都作澄清要求。</w:t>
      </w:r>
    </w:p>
    <w:p w14:paraId="21B1DF71">
      <w:pPr>
        <w:pStyle w:val="6"/>
        <w:spacing w:beforeAutospacing="0" w:afterAutospacing="0" w:line="0" w:lineRule="atLeast"/>
        <w:jc w:val="both"/>
        <w:rPr>
          <w:color w:val="auto"/>
        </w:rPr>
      </w:pPr>
      <w:r>
        <w:rPr>
          <w:rFonts w:hint="eastAsia" w:ascii="宋体" w:hAnsi="宋体" w:eastAsia="宋体" w:cs="宋体"/>
          <w:color w:val="auto"/>
        </w:rPr>
        <w:t>    25.2需要供应商进行澄清、说明和更正的，谈判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644CFDBE">
      <w:pPr>
        <w:pStyle w:val="6"/>
        <w:spacing w:beforeAutospacing="0" w:afterAutospacing="0" w:line="0" w:lineRule="atLeast"/>
        <w:jc w:val="both"/>
        <w:rPr>
          <w:color w:val="auto"/>
        </w:rPr>
      </w:pPr>
      <w:r>
        <w:rPr>
          <w:rFonts w:hint="eastAsia" w:ascii="宋体" w:hAnsi="宋体" w:eastAsia="宋体" w:cs="宋体"/>
          <w:color w:val="auto"/>
        </w:rPr>
        <w:t>    25.3 接到谈判小组澄清、说明和更正要求的供应商如未按规定做出澄清、说明和 更正，其风险由供应商自行承担。</w:t>
      </w:r>
    </w:p>
    <w:p w14:paraId="2E7E2B18">
      <w:pPr>
        <w:pStyle w:val="6"/>
        <w:keepNext/>
        <w:keepLines/>
        <w:spacing w:beforeAutospacing="0" w:afterAutospacing="0"/>
        <w:ind w:firstLine="420"/>
        <w:jc w:val="both"/>
        <w:rPr>
          <w:color w:val="auto"/>
        </w:rPr>
      </w:pPr>
      <w:bookmarkStart w:id="132" w:name="_Toc513029233"/>
      <w:bookmarkStart w:id="133" w:name="_Toc16938549"/>
      <w:bookmarkStart w:id="134" w:name="_Toc20823305"/>
      <w:r>
        <w:rPr>
          <w:rFonts w:ascii="Arial" w:hAnsi="Arial" w:cs="Arial"/>
          <w:color w:val="auto"/>
          <w:sz w:val="28"/>
          <w:szCs w:val="28"/>
        </w:rPr>
        <w:t>26、对响应文件的审</w:t>
      </w:r>
      <w:bookmarkEnd w:id="132"/>
      <w:bookmarkEnd w:id="133"/>
      <w:bookmarkEnd w:id="134"/>
      <w:r>
        <w:rPr>
          <w:rFonts w:ascii="Arial" w:hAnsi="Arial" w:cs="Arial"/>
          <w:color w:val="auto"/>
          <w:sz w:val="28"/>
          <w:szCs w:val="28"/>
        </w:rPr>
        <w:t>查</w:t>
      </w:r>
    </w:p>
    <w:p w14:paraId="7636B47F">
      <w:pPr>
        <w:pStyle w:val="6"/>
        <w:spacing w:beforeAutospacing="0" w:afterAutospacing="0" w:line="0" w:lineRule="atLeast"/>
        <w:ind w:firstLine="480"/>
        <w:jc w:val="both"/>
        <w:rPr>
          <w:color w:val="auto"/>
        </w:rPr>
      </w:pPr>
      <w:r>
        <w:rPr>
          <w:rFonts w:hint="eastAsia" w:ascii="宋体" w:hAnsi="宋体" w:eastAsia="宋体" w:cs="宋体"/>
          <w:color w:val="auto"/>
        </w:rPr>
        <w:t>26.1响应文件审查分为资格审查和符合性审查。</w:t>
      </w:r>
    </w:p>
    <w:p w14:paraId="7D7494C3">
      <w:pPr>
        <w:pStyle w:val="6"/>
        <w:spacing w:beforeAutospacing="0" w:afterAutospacing="0" w:line="0" w:lineRule="atLeast"/>
        <w:ind w:firstLine="480"/>
        <w:jc w:val="both"/>
        <w:rPr>
          <w:color w:val="auto"/>
        </w:rPr>
      </w:pPr>
      <w:r>
        <w:rPr>
          <w:rFonts w:hint="eastAsia" w:ascii="宋体" w:hAnsi="宋体" w:eastAsia="宋体" w:cs="宋体"/>
          <w:color w:val="auto"/>
        </w:rPr>
        <w:t>26.1.1 资格审查：由谈判小组依据法律法规和谈判文件的规定，对响应文件中的资格证明文件进行审查，以确定供应商是否具备参加谈判的资格。</w:t>
      </w:r>
    </w:p>
    <w:p w14:paraId="2DEDB2D4">
      <w:pPr>
        <w:pStyle w:val="6"/>
        <w:spacing w:beforeAutospacing="0" w:afterAutospacing="0" w:line="0" w:lineRule="atLeast"/>
        <w:ind w:firstLine="480"/>
        <w:jc w:val="both"/>
        <w:rPr>
          <w:color w:val="auto"/>
        </w:rPr>
      </w:pPr>
      <w:r>
        <w:rPr>
          <w:rFonts w:hint="eastAsia" w:ascii="宋体" w:hAnsi="宋体" w:eastAsia="宋体" w:cs="宋体"/>
          <w:color w:val="auto"/>
        </w:rPr>
        <w:t>谈判小组在进行资格审查的同时，将在“信用中国”网站（www.creditchina.gov.cn）查询供应商的信用记录，以确定供应商是否具备谈判资格,查询结果留存并归档。</w:t>
      </w:r>
    </w:p>
    <w:p w14:paraId="1D928B49">
      <w:pPr>
        <w:pStyle w:val="6"/>
        <w:spacing w:beforeAutospacing="0" w:afterAutospacing="0" w:line="0" w:lineRule="atLeast"/>
        <w:ind w:firstLine="480"/>
        <w:jc w:val="both"/>
        <w:rPr>
          <w:color w:val="auto"/>
        </w:rPr>
      </w:pPr>
      <w:r>
        <w:rPr>
          <w:rFonts w:hint="eastAsia" w:ascii="宋体" w:hAnsi="宋体" w:eastAsia="宋体" w:cs="宋体"/>
          <w:color w:val="auto"/>
        </w:rPr>
        <w:t>接受联合体的项目，两个以上的自然人、法人或者其他组织组成一个联合体，以一个供应商的身份共同参加政府采购活动的,联合体成员中任何一方存在不良信用记录的，视同联合体存在不良应用记录。</w:t>
      </w:r>
    </w:p>
    <w:p w14:paraId="55D0CB42">
      <w:pPr>
        <w:pStyle w:val="6"/>
        <w:spacing w:beforeAutospacing="0" w:afterAutospacing="0" w:line="0" w:lineRule="atLeast"/>
        <w:ind w:firstLine="480"/>
        <w:jc w:val="both"/>
        <w:rPr>
          <w:color w:val="auto"/>
        </w:rPr>
      </w:pPr>
      <w:r>
        <w:rPr>
          <w:rFonts w:hint="eastAsia" w:ascii="宋体" w:hAnsi="宋体" w:eastAsia="宋体" w:cs="宋体"/>
          <w:color w:val="auto"/>
        </w:rPr>
        <w:t>26.1.2 符合性审查：依据谈判文件的规定，由谈判小组从响应文件的有效性、完整性和对谈判文件的响应程度进行审查，以确定是否对谈判文件的实质性要求作出响应。</w:t>
      </w:r>
    </w:p>
    <w:p w14:paraId="16F69858">
      <w:pPr>
        <w:pStyle w:val="6"/>
        <w:spacing w:beforeAutospacing="0" w:afterAutospacing="0" w:line="0" w:lineRule="atLeast"/>
        <w:ind w:firstLine="480"/>
        <w:jc w:val="both"/>
        <w:rPr>
          <w:color w:val="auto"/>
        </w:rPr>
      </w:pPr>
      <w:r>
        <w:rPr>
          <w:rFonts w:hint="eastAsia" w:ascii="宋体" w:hAnsi="宋体" w:eastAsia="宋体" w:cs="宋体"/>
          <w:color w:val="auto"/>
        </w:rPr>
        <w:t>26.1.3 未通过资格审查或符合性审查的供应商，谈判小组将在苏采云系统中告知未通过资格审查或符合性审查的原因，评审结束后，谈判小组将不再告知未通过资格审查或符合性审查的原因。</w:t>
      </w:r>
    </w:p>
    <w:p w14:paraId="5B97412B">
      <w:pPr>
        <w:pStyle w:val="6"/>
        <w:spacing w:beforeAutospacing="0" w:afterAutospacing="0" w:line="0" w:lineRule="atLeast"/>
        <w:ind w:firstLine="480"/>
        <w:jc w:val="both"/>
        <w:rPr>
          <w:color w:val="auto"/>
        </w:rPr>
      </w:pPr>
      <w:r>
        <w:rPr>
          <w:rFonts w:hint="eastAsia" w:ascii="宋体" w:hAnsi="宋体" w:eastAsia="宋体" w:cs="宋体"/>
          <w:color w:val="auto"/>
        </w:rPr>
        <w:t>26.2在详细评审之前，谈判小组将首先审查每份响应文件是否实质性响应了谈判文件的要求。实质性响应的响应文件应该是与谈判文件要求的条款、条件和规格相符，没有重大偏离或保留。</w:t>
      </w:r>
    </w:p>
    <w:p w14:paraId="0824AB05">
      <w:pPr>
        <w:pStyle w:val="6"/>
        <w:spacing w:beforeAutospacing="0" w:afterAutospacing="0" w:line="0" w:lineRule="atLeast"/>
        <w:ind w:firstLine="480"/>
        <w:jc w:val="both"/>
        <w:rPr>
          <w:color w:val="auto"/>
        </w:rPr>
      </w:pPr>
      <w:r>
        <w:rPr>
          <w:rFonts w:hint="eastAsia" w:ascii="宋体" w:hAnsi="宋体" w:eastAsia="宋体" w:cs="宋体"/>
          <w:color w:val="auto"/>
        </w:rPr>
        <w:t>所谓重大偏离或保留是指与谈判文件规定的实质性要求存在负偏离，或者在实质上与谈判文件不一致，而且限制了合同中买方和采购中心的权利或供应商的义务，纠正这些偏离或保留将会对其他实质性响应要求的供应商的竞争地位产生不公正的影响。重大偏离由谈判小组按照少数服从多数的原则认定。谈判小组决定响应文件的响应性只根据响应文件本身的内容，而不寻求外部的证据。</w:t>
      </w:r>
    </w:p>
    <w:p w14:paraId="69E09761">
      <w:pPr>
        <w:pStyle w:val="6"/>
        <w:spacing w:beforeAutospacing="0" w:afterAutospacing="0" w:line="0" w:lineRule="atLeast"/>
        <w:ind w:firstLine="480"/>
        <w:jc w:val="both"/>
        <w:rPr>
          <w:color w:val="auto"/>
        </w:rPr>
      </w:pPr>
      <w:r>
        <w:rPr>
          <w:rFonts w:hint="eastAsia" w:ascii="宋体" w:hAnsi="宋体" w:eastAsia="宋体" w:cs="宋体"/>
          <w:color w:val="auto"/>
        </w:rPr>
        <w:t>26.3未实质性响应谈判文件的情形</w:t>
      </w:r>
    </w:p>
    <w:p w14:paraId="4284D092">
      <w:pPr>
        <w:pStyle w:val="6"/>
        <w:spacing w:beforeAutospacing="0" w:afterAutospacing="0" w:line="0" w:lineRule="atLeast"/>
        <w:ind w:firstLine="480"/>
        <w:jc w:val="both"/>
        <w:rPr>
          <w:color w:val="auto"/>
        </w:rPr>
      </w:pPr>
      <w:r>
        <w:rPr>
          <w:rFonts w:hint="eastAsia" w:ascii="宋体" w:hAnsi="宋体" w:eastAsia="宋体" w:cs="宋体"/>
          <w:color w:val="auto"/>
        </w:rPr>
        <w:t>26.3.1供应商在苏采云系统规定的时间内未成功解密电子响应文件的。</w:t>
      </w:r>
    </w:p>
    <w:p w14:paraId="746A2BD8">
      <w:pPr>
        <w:pStyle w:val="6"/>
        <w:spacing w:beforeAutospacing="0" w:afterAutospacing="0" w:line="0" w:lineRule="atLeast"/>
        <w:ind w:firstLine="480"/>
        <w:jc w:val="both"/>
        <w:rPr>
          <w:color w:val="auto"/>
        </w:rPr>
      </w:pPr>
      <w:r>
        <w:rPr>
          <w:rFonts w:hint="eastAsia" w:ascii="宋体" w:hAnsi="宋体" w:eastAsia="宋体" w:cs="宋体"/>
          <w:color w:val="auto"/>
        </w:rPr>
        <w:t>26.3.2供应商未按照谈判文件要求上传电子响应文件的。</w:t>
      </w:r>
    </w:p>
    <w:p w14:paraId="5A465932">
      <w:pPr>
        <w:pStyle w:val="6"/>
        <w:spacing w:beforeAutospacing="0" w:afterAutospacing="0" w:line="0" w:lineRule="atLeast"/>
        <w:ind w:firstLine="480"/>
        <w:jc w:val="both"/>
        <w:rPr>
          <w:color w:val="auto"/>
        </w:rPr>
      </w:pPr>
      <w:r>
        <w:rPr>
          <w:rFonts w:hint="eastAsia" w:ascii="宋体" w:hAnsi="宋体" w:eastAsia="宋体" w:cs="宋体"/>
          <w:color w:val="auto"/>
        </w:rPr>
        <w:t>26.3.3同一供应商提交两个（含两个）以上不同的响应文件或者最后报价的。</w:t>
      </w:r>
    </w:p>
    <w:p w14:paraId="4620F7FD">
      <w:pPr>
        <w:pStyle w:val="6"/>
        <w:spacing w:beforeAutospacing="0" w:afterAutospacing="0" w:line="0" w:lineRule="atLeast"/>
        <w:ind w:firstLine="480"/>
        <w:jc w:val="both"/>
        <w:rPr>
          <w:color w:val="auto"/>
        </w:rPr>
      </w:pPr>
      <w:r>
        <w:rPr>
          <w:rFonts w:hint="eastAsia" w:ascii="宋体" w:hAnsi="宋体" w:eastAsia="宋体" w:cs="宋体"/>
          <w:color w:val="auto"/>
        </w:rPr>
        <w:t>26.3.4供应商不具备谈判文件中规定资格要求的。</w:t>
      </w:r>
    </w:p>
    <w:p w14:paraId="31CC429F">
      <w:pPr>
        <w:pStyle w:val="6"/>
        <w:spacing w:beforeAutospacing="0" w:afterAutospacing="0" w:line="0" w:lineRule="atLeast"/>
        <w:ind w:firstLine="480"/>
        <w:jc w:val="both"/>
        <w:rPr>
          <w:color w:val="auto"/>
        </w:rPr>
      </w:pPr>
      <w:r>
        <w:rPr>
          <w:rFonts w:hint="eastAsia" w:ascii="宋体" w:hAnsi="宋体" w:eastAsia="宋体" w:cs="宋体"/>
          <w:color w:val="auto"/>
        </w:rPr>
        <w:t>26.3.5供应商的最后报价超过了采购预算。</w:t>
      </w:r>
    </w:p>
    <w:p w14:paraId="5EA66061">
      <w:pPr>
        <w:pStyle w:val="6"/>
        <w:spacing w:beforeAutospacing="0" w:afterAutospacing="0" w:line="0" w:lineRule="atLeast"/>
        <w:ind w:firstLine="480"/>
        <w:jc w:val="both"/>
        <w:rPr>
          <w:color w:val="auto"/>
        </w:rPr>
      </w:pPr>
      <w:r>
        <w:rPr>
          <w:rFonts w:hint="eastAsia" w:ascii="宋体" w:hAnsi="宋体" w:eastAsia="宋体" w:cs="宋体"/>
          <w:color w:val="auto"/>
        </w:rPr>
        <w:t>26.3.6不符合谈判文件中规定的实质性要求和条件的</w:t>
      </w:r>
      <w:r>
        <w:rPr>
          <w:rFonts w:hint="eastAsia" w:ascii="宋体" w:hAnsi="宋体" w:eastAsia="宋体" w:cs="宋体"/>
          <w:i/>
          <w:color w:val="auto"/>
          <w:u w:val="single"/>
        </w:rPr>
        <w:t>（本谈判文件中斜体且有下划线部分为实质性要求和条件）。</w:t>
      </w:r>
    </w:p>
    <w:p w14:paraId="4661457B">
      <w:pPr>
        <w:pStyle w:val="6"/>
        <w:spacing w:beforeAutospacing="0" w:afterAutospacing="0" w:line="0" w:lineRule="atLeast"/>
        <w:ind w:firstLine="480"/>
        <w:jc w:val="both"/>
        <w:rPr>
          <w:color w:val="auto"/>
        </w:rPr>
      </w:pPr>
      <w:r>
        <w:rPr>
          <w:rFonts w:hint="eastAsia" w:ascii="宋体" w:hAnsi="宋体" w:eastAsia="宋体" w:cs="宋体"/>
          <w:color w:val="auto"/>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0B4958E7">
      <w:pPr>
        <w:pStyle w:val="6"/>
        <w:spacing w:beforeAutospacing="0" w:afterAutospacing="0" w:line="0" w:lineRule="atLeast"/>
        <w:ind w:firstLine="480"/>
        <w:jc w:val="both"/>
        <w:rPr>
          <w:color w:val="auto"/>
        </w:rPr>
      </w:pPr>
      <w:r>
        <w:rPr>
          <w:rFonts w:hint="eastAsia" w:ascii="宋体" w:hAnsi="宋体" w:eastAsia="宋体" w:cs="宋体"/>
          <w:color w:val="auto"/>
        </w:rPr>
        <w:t>26.3.8  响应文件含有采购人不能接受的附加条件的。</w:t>
      </w:r>
    </w:p>
    <w:p w14:paraId="7CBC3C11">
      <w:pPr>
        <w:pStyle w:val="6"/>
        <w:spacing w:beforeAutospacing="0" w:afterAutospacing="0" w:line="0" w:lineRule="atLeast"/>
        <w:ind w:firstLine="480"/>
        <w:jc w:val="both"/>
        <w:rPr>
          <w:color w:val="auto"/>
        </w:rPr>
      </w:pPr>
      <w:r>
        <w:rPr>
          <w:rFonts w:hint="eastAsia" w:ascii="宋体" w:hAnsi="宋体" w:eastAsia="宋体" w:cs="宋体"/>
          <w:color w:val="auto"/>
        </w:rPr>
        <w:t>26.3.9 本项目采购产品被财政部、国家发改委、生态环境部等列入“节能产品品目清单”、“环境标志产品品目清单”强制采购范围，而谈判供应商所谈判产品不在强制采购范围内的。（谈判产品如属于政府强制采购节能产品品目清单范围内，谈判响应文件中必须提供国家确定的认证机构出具的、处于有效期之内的该节能产品认证证书图片）</w:t>
      </w:r>
    </w:p>
    <w:p w14:paraId="6864049C">
      <w:pPr>
        <w:pStyle w:val="6"/>
        <w:spacing w:beforeAutospacing="0" w:afterAutospacing="0" w:line="0" w:lineRule="atLeast"/>
        <w:ind w:firstLine="480"/>
        <w:jc w:val="both"/>
        <w:rPr>
          <w:color w:val="auto"/>
        </w:rPr>
      </w:pPr>
      <w:r>
        <w:rPr>
          <w:rFonts w:hint="eastAsia" w:ascii="宋体" w:hAnsi="宋体" w:eastAsia="宋体" w:cs="宋体"/>
          <w:color w:val="auto"/>
        </w:rPr>
        <w:t>26.3.10响应文件未按照谈判文件要求加盖CA电子公章的。</w:t>
      </w:r>
    </w:p>
    <w:p w14:paraId="254424C9">
      <w:pPr>
        <w:pStyle w:val="6"/>
        <w:spacing w:beforeAutospacing="0" w:afterAutospacing="0" w:line="0" w:lineRule="atLeast"/>
        <w:ind w:firstLine="480"/>
        <w:jc w:val="both"/>
        <w:rPr>
          <w:color w:val="auto"/>
        </w:rPr>
      </w:pPr>
      <w:r>
        <w:rPr>
          <w:rFonts w:hint="eastAsia" w:ascii="宋体" w:hAnsi="宋体" w:eastAsia="宋体" w:cs="宋体"/>
          <w:color w:val="auto"/>
        </w:rPr>
        <w:t>26.4未实质性响应谈判文件的响应文件按无效响应处理。</w:t>
      </w:r>
    </w:p>
    <w:p w14:paraId="5649582E">
      <w:pPr>
        <w:pStyle w:val="6"/>
        <w:spacing w:beforeAutospacing="0" w:afterAutospacing="0" w:line="0" w:lineRule="atLeast"/>
        <w:ind w:firstLine="480"/>
        <w:jc w:val="both"/>
        <w:rPr>
          <w:color w:val="auto"/>
          <w:highlight w:val="none"/>
        </w:rPr>
      </w:pPr>
      <w:r>
        <w:rPr>
          <w:rFonts w:hint="eastAsia" w:ascii="宋体" w:hAnsi="宋体" w:eastAsia="宋体" w:cs="宋体"/>
          <w:color w:val="000000"/>
        </w:rPr>
        <w:t>26.5如果响应文件实质上没有响应谈判文件的要求，谈判小组将予以拒绝，供应商不得通过修改或撤销不合要求的偏离或保留而使其成为实质性响应的文件。</w:t>
      </w:r>
    </w:p>
    <w:p w14:paraId="1D4B1FA9">
      <w:pPr>
        <w:pStyle w:val="6"/>
        <w:spacing w:beforeAutospacing="0" w:afterAutospacing="0" w:line="0" w:lineRule="atLeast"/>
        <w:ind w:firstLine="480"/>
        <w:jc w:val="both"/>
        <w:rPr>
          <w:color w:val="auto"/>
          <w:highlight w:val="none"/>
        </w:rPr>
      </w:pPr>
      <w:bookmarkStart w:id="135" w:name="_Toc20823306"/>
      <w:bookmarkStart w:id="136" w:name="_Toc16938550"/>
      <w:bookmarkStart w:id="137" w:name="_Toc513029234"/>
      <w:r>
        <w:rPr>
          <w:rFonts w:hint="eastAsia" w:ascii="宋体" w:hAnsi="宋体" w:eastAsia="宋体" w:cs="宋体"/>
          <w:color w:val="auto"/>
          <w:highlight w:val="none"/>
        </w:rPr>
        <w:t>26.6供应商在项目评审全过程中应保持通讯畅通，并安排专人与采购中心及谈判小组联系。</w:t>
      </w:r>
      <w:bookmarkEnd w:id="135"/>
      <w:bookmarkEnd w:id="136"/>
      <w:bookmarkEnd w:id="137"/>
    </w:p>
    <w:p w14:paraId="406AF235">
      <w:pPr>
        <w:pStyle w:val="6"/>
        <w:keepNext/>
        <w:keepLines/>
        <w:spacing w:beforeAutospacing="0" w:afterAutospacing="0"/>
        <w:ind w:firstLine="420"/>
        <w:jc w:val="both"/>
        <w:rPr>
          <w:color w:val="auto"/>
          <w:highlight w:val="none"/>
        </w:rPr>
      </w:pPr>
      <w:r>
        <w:rPr>
          <w:rFonts w:ascii="Arial" w:hAnsi="Arial" w:cs="Arial"/>
          <w:color w:val="auto"/>
          <w:sz w:val="28"/>
          <w:szCs w:val="28"/>
          <w:highlight w:val="none"/>
        </w:rPr>
        <w:t>27、谈判程序及成交原则</w:t>
      </w:r>
    </w:p>
    <w:p w14:paraId="6070A445">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27.1谈判程序</w:t>
      </w:r>
    </w:p>
    <w:p w14:paraId="069BAAFC">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27.1.1对于通过资格审查和符合性审查的供应商，谈判小组将集中与单一供应商分别进行谈判。谈判小组通过苏采云系统向供应商发布“谈判函”，供应商应当按照要求在苏采云系统提交“谈判响应函”并加盖CA电子公章。</w:t>
      </w:r>
    </w:p>
    <w:p w14:paraId="780D7FB1">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在谈判过程中，谈判小组可能根据谈判文件和谈判情况实质性变动的内容有：采购需求中的技术、服务要求以及合同草案条款。对谈判文件作出的实质性变动是谈判文件的有效组成部分，谈判小组将在苏采云系统中通知所有参加谈判的供应商。供应商应当按照谈判文件的变动情况和谈判小组的要求在苏采云系统中重新提交响应文件，并加盖CA电子公章。</w:t>
      </w:r>
    </w:p>
    <w:p w14:paraId="42578D15">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27.1.2谈判文件能够详细列明采购标的的技术、服务要求的，谈判结束后，谈判小组将在苏采云系统向所有实质性响应的供应商发布“最后报价要求函”及最后报价格式表，要求所有实质性响应的供应商在规定时间内提交最后报价。</w:t>
      </w:r>
    </w:p>
    <w:p w14:paraId="259BA6C0">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谈判文件不能详细列明采购标的的技术、服务要求，需经谈判由供应商提供最终设计方案或解决方案的，谈判结束后，谈判小组将按照少数服从多数的原则投票推荐3家以上供应商的设计方案或者解决方案，在苏采云系统中向其发布“最后报价要求函”及最后报价格式表，要求其在规定时间内提交最后报价。</w:t>
      </w:r>
    </w:p>
    <w:p w14:paraId="4928DB92">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27.1.3供应商未在谈判小组规定的时间内在苏采云系统中提交最后报价的视为放弃谈判，其响应文件按无效响应处理，最后报价格式表须加盖CA电子公章,否则视为未提交最后报价。已提交响应文件的供应商，在提交最后报价之前，可以根据谈判情况退出谈判，并在苏采云系统中提交“退出谈判函”并加盖CA电子公章。</w:t>
      </w:r>
    </w:p>
    <w:p w14:paraId="5DB65E67">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27.2 成交原则</w:t>
      </w:r>
    </w:p>
    <w:p w14:paraId="300847BC">
      <w:pPr>
        <w:pStyle w:val="6"/>
        <w:spacing w:beforeAutospacing="0" w:afterAutospacing="0" w:line="0" w:lineRule="atLeast"/>
        <w:ind w:firstLine="480"/>
        <w:jc w:val="both"/>
        <w:rPr>
          <w:color w:val="auto"/>
          <w:highlight w:val="none"/>
        </w:rPr>
      </w:pPr>
      <w:r>
        <w:rPr>
          <w:rFonts w:ascii="Times New Roman" w:hAnsi="Times New Roman"/>
          <w:color w:val="auto"/>
          <w:highlight w:val="none"/>
        </w:rPr>
        <w:t>27.2.1谈判小组将从质量和服务均能满足采购文件实质性响应要求的供应商中，按照最后报价由低到高顺序推荐3名成交候选供应商，并编写评审报告。采购人从评审报告提出的成交候选供应商中，根据质量和服务均能满足采购文件实质性响应要求且最后报价最低的原则确定成交供应商。</w:t>
      </w:r>
    </w:p>
    <w:p w14:paraId="79C52D00">
      <w:pPr>
        <w:pStyle w:val="6"/>
        <w:spacing w:beforeAutospacing="0" w:afterAutospacing="0" w:line="0" w:lineRule="atLeast"/>
        <w:ind w:firstLine="480"/>
        <w:jc w:val="both"/>
        <w:rPr>
          <w:color w:val="auto"/>
          <w:highlight w:val="none"/>
        </w:rPr>
      </w:pPr>
      <w:r>
        <w:rPr>
          <w:rFonts w:ascii="Times New Roman" w:hAnsi="Times New Roman"/>
          <w:color w:val="auto"/>
          <w:highlight w:val="none"/>
        </w:rPr>
        <w:t>27.2.2 提供相同品牌相同型号产品且通过资格审查、符合性审查的不同供应商参加同一合同项下响应的，按一家供应商计算，谈判中在其他条件合格的前提下，最后报价最低的供应商获得成交供应商推荐资格；最后报价相同的，由采购人或者采购人委托谈判小组按照竞争性谈判文件规定的方式确定一个供应商获得成交供应商推荐资格，竞争性谈判文件未规定的采取随机抽取方式确定，其他同品牌同型号供应商不作为成交候选人。</w:t>
      </w:r>
    </w:p>
    <w:p w14:paraId="476742B4">
      <w:pPr>
        <w:pStyle w:val="6"/>
        <w:spacing w:beforeAutospacing="0" w:afterAutospacing="0" w:line="0" w:lineRule="atLeast"/>
        <w:ind w:firstLine="480"/>
        <w:jc w:val="both"/>
        <w:rPr>
          <w:color w:val="auto"/>
          <w:highlight w:val="none"/>
        </w:rPr>
      </w:pPr>
      <w:r>
        <w:rPr>
          <w:rFonts w:ascii="Times New Roman" w:hAnsi="Times New Roman"/>
          <w:color w:val="auto"/>
          <w:highlight w:val="none"/>
        </w:rPr>
        <w:t>27.2.3 供应商的最后报价如相同，则优先采购 “环境标志产品”或“节能产品”；若均非“环境标志产品”、“节能产品”，则将优先采购交货期短者。环境标志产品是指列入财政部、环境保护部最新公布的《环境标志产品品目清单》内的产品；节能产品是指列入财政部、国家发改委最新公布的《节能产品品目清单》内的产品。</w:t>
      </w:r>
    </w:p>
    <w:p w14:paraId="4E7AE661">
      <w:pPr>
        <w:pStyle w:val="6"/>
        <w:spacing w:beforeAutospacing="0" w:afterAutospacing="0" w:line="0" w:lineRule="atLeast"/>
        <w:ind w:firstLine="480"/>
        <w:jc w:val="both"/>
        <w:rPr>
          <w:color w:val="auto"/>
          <w:highlight w:val="none"/>
        </w:rPr>
      </w:pPr>
      <w:r>
        <w:rPr>
          <w:rFonts w:ascii="Times New Roman" w:hAnsi="Times New Roman"/>
          <w:color w:val="auto"/>
          <w:highlight w:val="none"/>
        </w:rPr>
        <w:t>27.2.4 采购人确定成交供应商后，采购中心将在</w:t>
      </w:r>
      <w:r>
        <w:rPr>
          <w:rFonts w:hint="eastAsia" w:ascii="Times New Roman" w:hAnsi="Times New Roman"/>
          <w:color w:val="auto"/>
          <w:highlight w:val="none"/>
          <w:lang w:val="en-US" w:eastAsia="zh-CN"/>
        </w:rPr>
        <w:t>“中国政府采购网”、“江苏政府采购网”、“盐城市政府采购网”</w:t>
      </w:r>
      <w:r>
        <w:rPr>
          <w:rFonts w:ascii="Times New Roman" w:hAnsi="Times New Roman"/>
          <w:color w:val="auto"/>
          <w:highlight w:val="none"/>
        </w:rPr>
        <w:t>发布成交结果公告，公告期限为1个工作日。</w:t>
      </w:r>
    </w:p>
    <w:p w14:paraId="2E730C3D">
      <w:pPr>
        <w:pStyle w:val="6"/>
        <w:spacing w:beforeAutospacing="0" w:afterAutospacing="0" w:line="0" w:lineRule="atLeast"/>
        <w:ind w:firstLine="480"/>
        <w:jc w:val="both"/>
        <w:rPr>
          <w:color w:val="auto"/>
          <w:highlight w:val="none"/>
        </w:rPr>
      </w:pPr>
      <w:r>
        <w:rPr>
          <w:rFonts w:ascii="Times New Roman" w:hAnsi="Times New Roman"/>
          <w:color w:val="auto"/>
          <w:highlight w:val="none"/>
        </w:rPr>
        <w:t>27.3对小微型企业、监狱企业和残疾人福利单位的价格扣除</w:t>
      </w:r>
    </w:p>
    <w:p w14:paraId="7039894F">
      <w:pPr>
        <w:pStyle w:val="6"/>
        <w:spacing w:beforeAutospacing="0" w:afterAutospacing="0" w:line="0" w:lineRule="atLeast"/>
        <w:ind w:firstLine="480"/>
        <w:jc w:val="both"/>
        <w:rPr>
          <w:color w:val="auto"/>
          <w:highlight w:val="none"/>
        </w:rPr>
      </w:pPr>
      <w:r>
        <w:rPr>
          <w:rFonts w:ascii="Times New Roman" w:hAnsi="Times New Roman"/>
          <w:color w:val="auto"/>
          <w:highlight w:val="none"/>
        </w:rPr>
        <w:t>（1）小微型企业价格扣除</w:t>
      </w:r>
    </w:p>
    <w:p w14:paraId="4E6FBF92">
      <w:pPr>
        <w:pStyle w:val="11"/>
        <w:ind w:firstLine="360" w:firstLineChars="150"/>
        <w:rPr>
          <w:rFonts w:ascii="Times New Roman" w:hAnsi="Times New Roman" w:cs="Times New Roman" w:eastAsiaTheme="minorEastAsia"/>
          <w:color w:val="auto"/>
          <w:kern w:val="0"/>
          <w:sz w:val="24"/>
          <w:szCs w:val="24"/>
          <w:highlight w:val="none"/>
          <w:lang w:val="en-US" w:eastAsia="zh-CN" w:bidi="ar-SA"/>
        </w:rPr>
      </w:pPr>
      <w:r>
        <w:rPr>
          <w:rFonts w:hint="eastAsia" w:ascii="Times New Roman" w:hAnsi="Times New Roman" w:cs="Times New Roman" w:eastAsiaTheme="minorEastAsia"/>
          <w:color w:val="auto"/>
          <w:kern w:val="0"/>
          <w:sz w:val="24"/>
          <w:szCs w:val="24"/>
          <w:highlight w:val="none"/>
          <w:lang w:val="en-US" w:eastAsia="zh-CN" w:bidi="ar-SA"/>
        </w:rPr>
        <w:t>①本项目若不专门面向中小企业采购，对符合规定的小型和微型企业报价给予20%的扣除价格，用扣除后的价格参与评审；若专门面向中小企业采购，不再对小型和微型企业报价给予价格扣除。</w:t>
      </w:r>
    </w:p>
    <w:p w14:paraId="718BF603">
      <w:pPr>
        <w:pStyle w:val="11"/>
        <w:ind w:firstLine="360" w:firstLineChars="150"/>
        <w:rPr>
          <w:color w:val="auto"/>
          <w:highlight w:val="none"/>
        </w:rPr>
      </w:pPr>
      <w:r>
        <w:rPr>
          <w:rFonts w:hint="eastAsia" w:ascii="宋体" w:hAnsi="宋体" w:eastAsia="宋体" w:cs="宋体"/>
          <w:color w:val="auto"/>
          <w:highlight w:val="none"/>
        </w:rPr>
        <w:t>②</w:t>
      </w:r>
      <w:r>
        <w:rPr>
          <w:rFonts w:ascii="Times New Roman" w:hAnsi="Times New Roman"/>
          <w:color w:val="auto"/>
          <w:highlight w:val="none"/>
        </w:rPr>
        <w:t>供应商需按照采购文件的要求提供相应的《小微企业声明函》。</w:t>
      </w:r>
    </w:p>
    <w:p w14:paraId="32D6A9B2">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③</w:t>
      </w:r>
      <w:r>
        <w:rPr>
          <w:rFonts w:ascii="Times New Roman" w:hAnsi="Times New Roman"/>
          <w:color w:val="auto"/>
          <w:highlight w:val="none"/>
        </w:rPr>
        <w:t>企业标准请参照《关于印发中小企业划型标准规定的通知》（工信部联企业[2011]300号）文件规定自行填写。</w:t>
      </w:r>
    </w:p>
    <w:p w14:paraId="0485D0CE">
      <w:pPr>
        <w:pStyle w:val="6"/>
        <w:spacing w:beforeAutospacing="0" w:afterAutospacing="0" w:line="0" w:lineRule="atLeast"/>
        <w:ind w:firstLine="480"/>
        <w:jc w:val="both"/>
        <w:rPr>
          <w:color w:val="auto"/>
          <w:highlight w:val="none"/>
        </w:rPr>
      </w:pPr>
      <w:r>
        <w:rPr>
          <w:rFonts w:ascii="Times New Roman" w:hAnsi="Times New Roman"/>
          <w:color w:val="auto"/>
          <w:highlight w:val="none"/>
        </w:rPr>
        <w:t>（2）残疾人福利单位价格扣除</w:t>
      </w:r>
    </w:p>
    <w:p w14:paraId="630F9947">
      <w:pPr>
        <w:pStyle w:val="6"/>
        <w:spacing w:beforeAutospacing="0" w:afterAutospacing="0" w:line="0" w:lineRule="atLeast"/>
        <w:ind w:firstLine="480"/>
        <w:jc w:val="both"/>
        <w:rPr>
          <w:rFonts w:ascii="Times New Roman" w:hAnsi="Times New Roman"/>
          <w:color w:val="auto"/>
          <w:highlight w:val="none"/>
          <w:u w:val="single"/>
        </w:rPr>
      </w:pPr>
      <w:r>
        <w:rPr>
          <w:rFonts w:hint="eastAsia" w:ascii="宋体" w:hAnsi="宋体" w:eastAsia="宋体" w:cs="宋体"/>
          <w:color w:val="auto"/>
          <w:highlight w:val="none"/>
        </w:rPr>
        <w:t>①</w:t>
      </w:r>
      <w:r>
        <w:rPr>
          <w:rFonts w:ascii="Times New Roman" w:hAnsi="Times New Roman"/>
          <w:color w:val="auto"/>
          <w:highlight w:val="none"/>
        </w:rPr>
        <w:t>本项目对残疾人福利性单位视同小型、微型企业，给予</w:t>
      </w:r>
      <w:r>
        <w:rPr>
          <w:rFonts w:hint="eastAsia" w:ascii="Times New Roman" w:hAnsi="Times New Roman"/>
          <w:color w:val="auto"/>
          <w:highlight w:val="none"/>
          <w:u w:val="single"/>
        </w:rPr>
        <w:t>2</w:t>
      </w:r>
      <w:r>
        <w:rPr>
          <w:rFonts w:ascii="Times New Roman" w:hAnsi="Times New Roman"/>
          <w:color w:val="auto"/>
          <w:highlight w:val="none"/>
          <w:u w:val="single"/>
        </w:rPr>
        <w:t>0%</w:t>
      </w:r>
    </w:p>
    <w:p w14:paraId="2D077DE5">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②</w:t>
      </w:r>
      <w:r>
        <w:rPr>
          <w:rFonts w:ascii="Times New Roman" w:hAnsi="Times New Roman"/>
          <w:color w:val="auto"/>
          <w:highlight w:val="none"/>
        </w:rPr>
        <w:t>残疾人福利单位需按照采购文件的要求提供《残疾人福利性单位声明函》。</w:t>
      </w:r>
    </w:p>
    <w:p w14:paraId="005998A2">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③</w:t>
      </w:r>
      <w:r>
        <w:rPr>
          <w:rFonts w:ascii="Times New Roman" w:hAnsi="Times New Roman"/>
          <w:color w:val="auto"/>
          <w:highlight w:val="none"/>
        </w:rPr>
        <w:t>残疾人福利单位标准请参照《关于促进残疾人就业政府采购政策的通知》（财库〔2017〕141号）。</w:t>
      </w:r>
    </w:p>
    <w:p w14:paraId="199668C1">
      <w:pPr>
        <w:pStyle w:val="6"/>
        <w:spacing w:beforeAutospacing="0" w:afterAutospacing="0" w:line="0" w:lineRule="atLeast"/>
        <w:ind w:firstLine="480"/>
        <w:jc w:val="both"/>
        <w:rPr>
          <w:color w:val="auto"/>
          <w:highlight w:val="none"/>
        </w:rPr>
      </w:pPr>
      <w:r>
        <w:rPr>
          <w:rFonts w:ascii="Times New Roman" w:hAnsi="Times New Roman"/>
          <w:color w:val="auto"/>
          <w:highlight w:val="none"/>
        </w:rPr>
        <w:t>（3）监狱和戒毒企业价格扣除</w:t>
      </w:r>
    </w:p>
    <w:p w14:paraId="4E6D88E8">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①</w:t>
      </w:r>
      <w:r>
        <w:rPr>
          <w:rFonts w:ascii="Times New Roman" w:hAnsi="Times New Roman"/>
          <w:color w:val="auto"/>
          <w:highlight w:val="none"/>
        </w:rPr>
        <w:t>本项目对监狱和戒毒企业（简称监狱企业）视同小型、微型企业，给予</w:t>
      </w:r>
      <w:r>
        <w:rPr>
          <w:rFonts w:hint="eastAsia" w:ascii="Times New Roman" w:hAnsi="Times New Roman"/>
          <w:color w:val="auto"/>
          <w:highlight w:val="none"/>
          <w:u w:val="single"/>
        </w:rPr>
        <w:t>2</w:t>
      </w:r>
      <w:r>
        <w:rPr>
          <w:rFonts w:ascii="Times New Roman" w:hAnsi="Times New Roman"/>
          <w:color w:val="auto"/>
          <w:highlight w:val="none"/>
          <w:u w:val="single"/>
        </w:rPr>
        <w:t>0%</w:t>
      </w:r>
    </w:p>
    <w:p w14:paraId="64B92B82">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②</w:t>
      </w:r>
      <w:r>
        <w:rPr>
          <w:rFonts w:ascii="Times New Roman" w:hAnsi="Times New Roman"/>
          <w:color w:val="auto"/>
          <w:highlight w:val="none"/>
        </w:rPr>
        <w:t>监狱企业参加政府采购活动时，需提供由省级以上监狱管理局、戒毒管理局(含新疆生产建设兵团)出具的属于监狱企业的证明文件。供应商如不提供上述证明文件，价格将不做相应扣除。</w:t>
      </w:r>
    </w:p>
    <w:p w14:paraId="68C6AB67">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③</w:t>
      </w:r>
      <w:r>
        <w:rPr>
          <w:rFonts w:ascii="Times New Roman" w:hAnsi="Times New Roman"/>
          <w:color w:val="auto"/>
          <w:highlight w:val="none"/>
        </w:rPr>
        <w:t>监狱企业标准请参照《关于政府采购支持监狱企业发展有关问题的通知》（财库[2014]68号）。</w:t>
      </w:r>
    </w:p>
    <w:p w14:paraId="0BBA4CE5">
      <w:pPr>
        <w:pStyle w:val="6"/>
        <w:spacing w:beforeAutospacing="0" w:afterAutospacing="0" w:line="0" w:lineRule="atLeast"/>
        <w:ind w:firstLine="480"/>
        <w:jc w:val="both"/>
        <w:rPr>
          <w:color w:val="auto"/>
          <w:highlight w:val="none"/>
        </w:rPr>
      </w:pPr>
      <w:r>
        <w:rPr>
          <w:rFonts w:ascii="Times New Roman" w:hAnsi="Times New Roman"/>
          <w:color w:val="000000"/>
        </w:rPr>
        <w:t>（4</w:t>
      </w:r>
      <w:r>
        <w:rPr>
          <w:rFonts w:ascii="Times New Roman" w:hAnsi="Times New Roman"/>
          <w:color w:val="auto"/>
          <w:highlight w:val="none"/>
        </w:rPr>
        <w:t>）残疾人福利单位、监狱企业属于小型、微型企业的，不重复享受政策。</w:t>
      </w:r>
    </w:p>
    <w:p w14:paraId="3357F5D1">
      <w:pPr>
        <w:pStyle w:val="6"/>
        <w:spacing w:beforeAutospacing="0" w:afterAutospacing="0" w:line="0" w:lineRule="atLeast"/>
        <w:ind w:firstLine="480"/>
        <w:jc w:val="both"/>
        <w:rPr>
          <w:rFonts w:ascii="Times New Roman" w:hAnsi="Times New Roman"/>
          <w:color w:val="auto"/>
          <w:highlight w:val="none"/>
        </w:rPr>
      </w:pPr>
      <w:r>
        <w:rPr>
          <w:rFonts w:ascii="Times New Roman" w:hAnsi="Times New Roman"/>
          <w:color w:val="auto"/>
          <w:highlight w:val="none"/>
        </w:rPr>
        <w:t>（5）如本项目同意联合体参加谈判或同意分包履行合同的,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w:t>
      </w:r>
      <w:r>
        <w:rPr>
          <w:rFonts w:hint="eastAsia" w:ascii="Times New Roman" w:hAnsi="Times New Roman"/>
          <w:color w:val="auto"/>
          <w:highlight w:val="none"/>
          <w:u w:val="single"/>
        </w:rPr>
        <w:t>6</w:t>
      </w:r>
      <w:r>
        <w:rPr>
          <w:rFonts w:ascii="Times New Roman" w:hAnsi="Times New Roman"/>
          <w:color w:val="auto"/>
          <w:highlight w:val="none"/>
          <w:u w:val="single"/>
        </w:rPr>
        <w:t>%</w:t>
      </w:r>
      <w:r>
        <w:rPr>
          <w:rFonts w:ascii="Times New Roman" w:hAnsi="Times New Roman"/>
          <w:color w:val="auto"/>
          <w:highlight w:val="none"/>
        </w:rPr>
        <w:t>的价格扣除，用扣除后的价格参与评审。</w:t>
      </w:r>
    </w:p>
    <w:p w14:paraId="2038CDB5">
      <w:pPr>
        <w:pStyle w:val="6"/>
        <w:spacing w:beforeAutospacing="0" w:afterAutospacing="0" w:line="0" w:lineRule="atLeast"/>
        <w:ind w:firstLine="480"/>
        <w:jc w:val="both"/>
        <w:rPr>
          <w:rFonts w:ascii="Times New Roman" w:hAnsi="Times New Roman"/>
          <w:color w:val="auto"/>
          <w:highlight w:val="none"/>
          <w:u w:val="single"/>
        </w:rPr>
      </w:pPr>
      <w:r>
        <w:rPr>
          <w:rFonts w:ascii="Times New Roman" w:hAnsi="Times New Roman"/>
          <w:color w:val="auto"/>
          <w:highlight w:val="none"/>
        </w:rPr>
        <w:t>（6）联合体各方均为小型、微型企业（残疾人福利单位、监狱企业）的，联合体享受</w:t>
      </w:r>
      <w:r>
        <w:rPr>
          <w:rFonts w:hint="eastAsia" w:ascii="Times New Roman" w:hAnsi="Times New Roman"/>
          <w:color w:val="auto"/>
          <w:highlight w:val="none"/>
          <w:u w:val="single"/>
        </w:rPr>
        <w:t>2</w:t>
      </w:r>
      <w:r>
        <w:rPr>
          <w:rFonts w:ascii="Times New Roman" w:hAnsi="Times New Roman"/>
          <w:color w:val="auto"/>
          <w:highlight w:val="none"/>
          <w:u w:val="single"/>
        </w:rPr>
        <w:t>0%</w:t>
      </w:r>
    </w:p>
    <w:p w14:paraId="64E07967">
      <w:pPr>
        <w:pStyle w:val="6"/>
        <w:spacing w:beforeAutospacing="0" w:afterAutospacing="0" w:line="0" w:lineRule="atLeast"/>
        <w:ind w:firstLine="480"/>
        <w:jc w:val="both"/>
        <w:rPr>
          <w:color w:val="auto"/>
          <w:highlight w:val="none"/>
        </w:rPr>
      </w:pPr>
      <w:r>
        <w:rPr>
          <w:rFonts w:ascii="Times New Roman" w:hAnsi="Times New Roman"/>
          <w:color w:val="auto"/>
          <w:highlight w:val="none"/>
        </w:rPr>
        <w:t>（7）根据《江苏省政府采购信用管理暂行办法》的规定，供应商信用评价结果为三星的给予1%的价格加成，评价结果为二星的给予2%的价格加成，评价结果为一星的给予3%的价格加成。</w:t>
      </w:r>
    </w:p>
    <w:p w14:paraId="20C70301">
      <w:pPr>
        <w:pStyle w:val="6"/>
        <w:tabs>
          <w:tab w:val="left" w:pos="901"/>
        </w:tabs>
        <w:spacing w:beforeAutospacing="0" w:after="145" w:afterAutospacing="0" w:line="0" w:lineRule="atLeast"/>
        <w:ind w:firstLine="478"/>
        <w:jc w:val="both"/>
        <w:rPr>
          <w:color w:val="auto"/>
          <w:highlight w:val="none"/>
        </w:rPr>
      </w:pPr>
      <w:r>
        <w:rPr>
          <w:rFonts w:hint="eastAsia" w:ascii="宋体" w:hAnsi="宋体" w:eastAsia="宋体" w:cs="宋体"/>
          <w:color w:val="auto"/>
          <w:highlight w:val="none"/>
        </w:rPr>
        <w:t>27.4采购活动终止的情况</w:t>
      </w:r>
    </w:p>
    <w:p w14:paraId="36398A0B">
      <w:pPr>
        <w:pStyle w:val="6"/>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出现下列情形之一的，本次竞争性谈判采购活动将被终止：</w:t>
      </w:r>
    </w:p>
    <w:p w14:paraId="26465A1F">
      <w:pPr>
        <w:pStyle w:val="6"/>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27.4.1因情况变化，不再符合规定的竞争性谈判采购方式适用情形的。</w:t>
      </w:r>
    </w:p>
    <w:p w14:paraId="0CC8F3E6">
      <w:pPr>
        <w:pStyle w:val="6"/>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27.4.2出现影响采购公正的违法、违规行为的。</w:t>
      </w:r>
    </w:p>
    <w:p w14:paraId="47022E92">
      <w:pPr>
        <w:pStyle w:val="6"/>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27.4.3在采购过程中符合要求的供应商或者最后报价未超过采购预算的供应商不足3家的。</w:t>
      </w:r>
    </w:p>
    <w:p w14:paraId="072C5448">
      <w:pPr>
        <w:pStyle w:val="6"/>
        <w:tabs>
          <w:tab w:val="left" w:pos="901"/>
        </w:tabs>
        <w:spacing w:beforeAutospacing="0" w:after="145" w:afterAutospacing="0" w:line="0" w:lineRule="atLeast"/>
        <w:ind w:firstLine="360"/>
        <w:jc w:val="both"/>
        <w:rPr>
          <w:color w:val="auto"/>
          <w:highlight w:val="none"/>
        </w:rPr>
      </w:pPr>
      <w:r>
        <w:rPr>
          <w:rFonts w:hint="eastAsia" w:ascii="宋体" w:hAnsi="宋体" w:eastAsia="宋体" w:cs="宋体"/>
          <w:color w:val="auto"/>
          <w:highlight w:val="none"/>
        </w:rPr>
        <w:t>27.3.4在苏采云系统规定时间内成功解密电子响应文件的供应商不足3家的。</w:t>
      </w:r>
    </w:p>
    <w:p w14:paraId="26B539DF">
      <w:pPr>
        <w:pStyle w:val="6"/>
        <w:keepNext/>
        <w:keepLines/>
        <w:spacing w:beforeAutospacing="0" w:afterAutospacing="0"/>
        <w:ind w:firstLine="420"/>
        <w:jc w:val="both"/>
        <w:rPr>
          <w:color w:val="auto"/>
          <w:highlight w:val="none"/>
        </w:rPr>
      </w:pPr>
      <w:r>
        <w:rPr>
          <w:rFonts w:ascii="Arial" w:hAnsi="Arial" w:cs="Arial"/>
          <w:color w:val="auto"/>
          <w:sz w:val="28"/>
          <w:szCs w:val="28"/>
          <w:highlight w:val="none"/>
        </w:rPr>
        <w:t>28、成交供应商被取消成交资格情形</w:t>
      </w:r>
    </w:p>
    <w:p w14:paraId="06FA08B9">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若有充分证据证明，成交供应商出现下列情况之一的，一经查实，将被取消成交资格：</w:t>
      </w:r>
    </w:p>
    <w:p w14:paraId="052D427F">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28.1提供虚假材料谋取成交的。</w:t>
      </w:r>
    </w:p>
    <w:p w14:paraId="7FFF815F">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28.2与评审专家、采购人、其他供应商或者采购中心工作人员恶意串通的。</w:t>
      </w:r>
    </w:p>
    <w:p w14:paraId="4812DF75">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28.3向评审专家、采购人或采购中心工作人员行贿或者提供其他不正当利益的。</w:t>
      </w:r>
    </w:p>
    <w:p w14:paraId="47771150">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28.4恶意竞争，最后报价明显低于其自身合理成本且又无法提供证明的。</w:t>
      </w:r>
    </w:p>
    <w:p w14:paraId="3591428D">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28.5不满足本谈判文件规定的实质性要求，但在评审过程中又未被谈判小组发现的。</w:t>
      </w:r>
    </w:p>
    <w:p w14:paraId="7AC87FF0">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28.6成交后无正当理由拒不与采购人签订政府采购合同或者未按照谈判文件确定的事项签订政府采购合同的。</w:t>
      </w:r>
    </w:p>
    <w:p w14:paraId="041FBDB2">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28.7将政府采购合同转包的。</w:t>
      </w:r>
    </w:p>
    <w:p w14:paraId="7338A398">
      <w:pPr>
        <w:pStyle w:val="6"/>
        <w:keepNext/>
        <w:keepLines/>
        <w:spacing w:beforeAutospacing="0" w:afterAutospacing="0"/>
        <w:ind w:firstLine="600"/>
        <w:jc w:val="both"/>
        <w:rPr>
          <w:color w:val="auto"/>
          <w:highlight w:val="none"/>
        </w:rPr>
      </w:pPr>
      <w:bookmarkStart w:id="138" w:name="_Toc200451960"/>
      <w:r>
        <w:rPr>
          <w:rFonts w:hint="eastAsia" w:ascii="黑体" w:hAnsi="宋体" w:eastAsia="黑体" w:cs="黑体"/>
          <w:color w:val="auto"/>
          <w:sz w:val="30"/>
          <w:szCs w:val="30"/>
          <w:highlight w:val="none"/>
        </w:rPr>
        <w:t>29、质疑处理</w:t>
      </w:r>
      <w:bookmarkEnd w:id="138"/>
    </w:p>
    <w:p w14:paraId="6759B640">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29.1 提出质疑的供应商应当是参与所质疑项目采购活动的供应商。潜在供应商依法获取其可质疑的采购文件的，可以对采购文件提出质疑。</w:t>
      </w:r>
    </w:p>
    <w:p w14:paraId="7803D7E4">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24923206">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29.2.1</w:t>
      </w:r>
      <w:r>
        <w:rPr>
          <w:rFonts w:ascii="Times New Roman" w:hAnsi="Times New Roman"/>
          <w:color w:val="auto"/>
          <w:highlight w:val="none"/>
        </w:rPr>
        <w:t>对可以质疑的采购文件提出质疑的，为收到采购文件之日或者采购文件公告期限届满之日。</w:t>
      </w:r>
      <w:r>
        <w:rPr>
          <w:rFonts w:ascii="Times New Roman" w:hAnsi="Times New Roman"/>
          <w:color w:val="auto"/>
          <w:highlight w:val="none"/>
        </w:rPr>
        <w:br w:type="textWrapping"/>
      </w:r>
      <w:r>
        <w:rPr>
          <w:rFonts w:ascii="Times New Roman" w:hAnsi="Times New Roman"/>
          <w:color w:val="auto"/>
          <w:highlight w:val="none"/>
        </w:rPr>
        <w:t xml:space="preserve">   </w:t>
      </w:r>
      <w:r>
        <w:rPr>
          <w:rFonts w:hint="eastAsia" w:ascii="宋体" w:hAnsi="宋体" w:eastAsia="宋体" w:cs="宋体"/>
          <w:color w:val="auto"/>
          <w:highlight w:val="none"/>
        </w:rPr>
        <w:t>29.2.2</w:t>
      </w:r>
      <w:r>
        <w:rPr>
          <w:rFonts w:ascii="Times New Roman" w:hAnsi="Times New Roman"/>
          <w:color w:val="auto"/>
          <w:highlight w:val="none"/>
        </w:rPr>
        <w:t>对采购过程提出质疑的，为各采购程序环节结束之日。</w:t>
      </w:r>
      <w:r>
        <w:rPr>
          <w:rFonts w:ascii="Times New Roman" w:hAnsi="Times New Roman"/>
          <w:color w:val="auto"/>
          <w:highlight w:val="none"/>
        </w:rPr>
        <w:br w:type="textWrapping"/>
      </w:r>
      <w:r>
        <w:rPr>
          <w:rFonts w:ascii="Times New Roman" w:hAnsi="Times New Roman"/>
          <w:color w:val="auto"/>
          <w:highlight w:val="none"/>
        </w:rPr>
        <w:t xml:space="preserve">   </w:t>
      </w:r>
      <w:r>
        <w:rPr>
          <w:rFonts w:hint="eastAsia" w:ascii="宋体" w:hAnsi="宋体" w:eastAsia="宋体" w:cs="宋体"/>
          <w:color w:val="auto"/>
          <w:highlight w:val="none"/>
        </w:rPr>
        <w:t>29.2.3</w:t>
      </w:r>
      <w:r>
        <w:rPr>
          <w:rFonts w:ascii="Times New Roman" w:hAnsi="Times New Roman"/>
          <w:color w:val="auto"/>
          <w:highlight w:val="none"/>
        </w:rPr>
        <w:t>对成交结果提出质疑的，为成交结果公告期限届满之日。</w:t>
      </w:r>
    </w:p>
    <w:p w14:paraId="1CEB7DCC">
      <w:pPr>
        <w:pStyle w:val="6"/>
        <w:spacing w:beforeAutospacing="0" w:afterAutospacing="0" w:line="0" w:lineRule="atLeast"/>
        <w:ind w:firstLine="480"/>
        <w:jc w:val="both"/>
        <w:rPr>
          <w:color w:val="auto"/>
          <w:highlight w:val="none"/>
        </w:rPr>
      </w:pPr>
      <w:r>
        <w:rPr>
          <w:rFonts w:ascii="Times New Roman" w:hAnsi="Times New Roman"/>
          <w:color w:val="auto"/>
          <w:highlight w:val="none"/>
        </w:rPr>
        <w:t>供应商应当在法定质疑期内一次性提出针对同一采购程序环节的质疑。供应商如在法定期限内对同一采购程序环节提出多次质疑的，采购中心、采购人将只对供应商第一次质疑作出答复。</w:t>
      </w:r>
    </w:p>
    <w:p w14:paraId="47195CBE">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29.3质疑函必须按照本谈判文件中《质疑函范本》要求的格式和内容进行填写。供应商如组成联合体参加谈判，则《质疑函范本》中要求签字、盖章、加盖公章之处，联合体各方均须按要求签字、盖章、加盖公章。</w:t>
      </w:r>
    </w:p>
    <w:p w14:paraId="0925E702">
      <w:pPr>
        <w:pStyle w:val="6"/>
        <w:spacing w:beforeAutospacing="0" w:afterAutospacing="0" w:line="0" w:lineRule="atLeast"/>
        <w:ind w:firstLine="482"/>
        <w:jc w:val="both"/>
        <w:rPr>
          <w:color w:val="auto"/>
          <w:highlight w:val="none"/>
        </w:rPr>
      </w:pPr>
      <w:r>
        <w:rPr>
          <w:rFonts w:hint="eastAsia" w:ascii="宋体" w:hAnsi="宋体" w:eastAsia="宋体" w:cs="宋体"/>
          <w:color w:val="auto"/>
          <w:highlight w:val="none"/>
        </w:rPr>
        <w:t>29.4 供应商（含潜在供应商）对采购方式、采购需求、供应商资格条件、评审方法与评审标准、合同文本的询问、质疑请向采购人提出，由采购人负责答复。供应商对其他事项的询问、质疑请向采购中心提出，由采购中心负责答复。</w:t>
      </w:r>
    </w:p>
    <w:p w14:paraId="3867E594">
      <w:pPr>
        <w:tabs>
          <w:tab w:val="left" w:pos="1331"/>
        </w:tabs>
        <w:bidi w:val="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采购人及采购中心只接收以纸质原件形式送达的质疑,采购人和采购中心不接受未填写快递运单的快件。质疑接收部门为公共资源交易中心业务受理处，联系地址：盐城市府西路1号市公共资源交易中心522，联系电话：0515-86665052。</w:t>
      </w:r>
    </w:p>
    <w:p w14:paraId="2220C3AA">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 以下情形的质疑不予受理</w:t>
      </w:r>
    </w:p>
    <w:p w14:paraId="747FB00E">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29.5.1 内容不符合《政府采购质疑和投诉办法》第十二条规定的质疑。</w:t>
      </w:r>
    </w:p>
    <w:p w14:paraId="437C0D7D">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29.5.2 超出政府采购法定期限的质疑。</w:t>
      </w:r>
    </w:p>
    <w:p w14:paraId="580A425B">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29.5.3 以传真、电子邮件等方式递交的非原件形式的质疑。</w:t>
      </w:r>
    </w:p>
    <w:p w14:paraId="7EC35785">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29.5.4 未参加谈判活动的供应商或在谈判活动中自身权益未受到损害的供应商所提出的质疑。</w:t>
      </w:r>
    </w:p>
    <w:p w14:paraId="6E499DFE">
      <w:pPr>
        <w:pStyle w:val="6"/>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29.5.5供应商组成联合体参加谈判，联合体中任何一方或多方未按要求签字、盖章、加盖公章的质疑。</w:t>
      </w:r>
    </w:p>
    <w:p w14:paraId="79CF1B10">
      <w:pPr>
        <w:pStyle w:val="6"/>
        <w:spacing w:beforeAutospacing="0" w:afterAutospacing="0" w:line="0" w:lineRule="atLeast"/>
        <w:ind w:firstLine="468"/>
        <w:jc w:val="both"/>
        <w:rPr>
          <w:color w:val="auto"/>
          <w:highlight w:val="none"/>
        </w:rPr>
      </w:pPr>
      <w:r>
        <w:rPr>
          <w:rFonts w:hint="eastAsia" w:ascii="宋体" w:hAnsi="宋体" w:eastAsia="宋体" w:cs="宋体"/>
          <w:color w:val="auto"/>
          <w:highlight w:val="none"/>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6E965E91">
      <w:pPr>
        <w:pStyle w:val="6"/>
        <w:keepNext/>
        <w:keepLines/>
        <w:spacing w:beforeAutospacing="0" w:afterAutospacing="0"/>
        <w:ind w:firstLine="600"/>
        <w:jc w:val="both"/>
        <w:rPr>
          <w:color w:val="auto"/>
          <w:highlight w:val="none"/>
        </w:rPr>
      </w:pPr>
      <w:r>
        <w:rPr>
          <w:rFonts w:hint="eastAsia" w:ascii="黑体" w:hAnsi="宋体" w:eastAsia="黑体" w:cs="黑体"/>
          <w:color w:val="auto"/>
          <w:sz w:val="30"/>
          <w:szCs w:val="30"/>
          <w:highlight w:val="none"/>
        </w:rPr>
        <w:t>30、成交通知书</w:t>
      </w:r>
    </w:p>
    <w:p w14:paraId="73BF5B65">
      <w:pPr>
        <w:pStyle w:val="6"/>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30.1成交结果确定后，采购中心将向成交供应商发出成交通知书。请成交供应商在成交结果公告届满之日起30日内,使用CA数字证书登录苏采云系统及时下载成交通知书。因系统存储空间有限，自成交结果公告届满之日起30日后，苏采云系统不再保证提供下载成交通知书服务,因未及时下载而造成的不利后果由成交供应商自行承担。</w:t>
      </w:r>
    </w:p>
    <w:p w14:paraId="7BE30546">
      <w:pPr>
        <w:pStyle w:val="6"/>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30.2成交通知书将是合同的一个组成部分。对采购人和成交供应商均具有法律效力。成交通知书发出后，采购人改变成交结果的，或者成交供应商放弃成交项目的，应当依法承担法律责任。</w:t>
      </w:r>
    </w:p>
    <w:p w14:paraId="6EA864F0">
      <w:pPr>
        <w:pStyle w:val="6"/>
        <w:keepNext/>
        <w:keepLines/>
        <w:spacing w:before="145" w:beforeAutospacing="0" w:after="145" w:afterAutospacing="0" w:line="360" w:lineRule="auto"/>
        <w:jc w:val="both"/>
        <w:rPr>
          <w:color w:val="auto"/>
          <w:highlight w:val="none"/>
        </w:rPr>
      </w:pPr>
      <w:bookmarkStart w:id="139" w:name="_Toc513029236"/>
      <w:bookmarkStart w:id="140" w:name="_Toc16938552"/>
      <w:bookmarkStart w:id="141" w:name="_Toc20823308"/>
      <w:bookmarkStart w:id="142" w:name="_Toc120614220"/>
      <w:r>
        <w:rPr>
          <w:rFonts w:ascii="Times New Roman" w:hAnsi="Times New Roman"/>
          <w:b/>
          <w:color w:val="auto"/>
          <w:sz w:val="32"/>
          <w:szCs w:val="32"/>
          <w:highlight w:val="none"/>
        </w:rPr>
        <w:t>七、授予合同</w:t>
      </w:r>
      <w:bookmarkEnd w:id="139"/>
      <w:bookmarkEnd w:id="140"/>
      <w:bookmarkEnd w:id="141"/>
      <w:bookmarkEnd w:id="142"/>
    </w:p>
    <w:p w14:paraId="4227BD4D">
      <w:pPr>
        <w:pStyle w:val="6"/>
        <w:keepNext/>
        <w:keepLines/>
        <w:spacing w:beforeAutospacing="0" w:afterAutospacing="0"/>
        <w:ind w:firstLine="600"/>
        <w:jc w:val="both"/>
        <w:rPr>
          <w:color w:val="auto"/>
          <w:highlight w:val="none"/>
        </w:rPr>
      </w:pPr>
      <w:bookmarkStart w:id="143" w:name="_Toc16938553"/>
      <w:bookmarkStart w:id="144" w:name="_Toc20823309"/>
      <w:bookmarkStart w:id="145" w:name="_Toc513029237"/>
      <w:r>
        <w:rPr>
          <w:rFonts w:hint="eastAsia" w:ascii="黑体" w:hAnsi="宋体" w:eastAsia="黑体" w:cs="黑体"/>
          <w:color w:val="auto"/>
          <w:sz w:val="30"/>
          <w:szCs w:val="30"/>
          <w:highlight w:val="none"/>
        </w:rPr>
        <w:t>31. 签订合同</w:t>
      </w:r>
      <w:bookmarkEnd w:id="143"/>
      <w:bookmarkEnd w:id="144"/>
      <w:bookmarkEnd w:id="145"/>
    </w:p>
    <w:p w14:paraId="28C12FA5">
      <w:pPr>
        <w:pStyle w:val="6"/>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31.l成交供应商应当在成交通知书发出之日起三十日内，按照谈判文件确定的事项与采购人签订政府采购合同。</w:t>
      </w:r>
    </w:p>
    <w:p w14:paraId="273D7FC0">
      <w:pPr>
        <w:pStyle w:val="6"/>
        <w:spacing w:beforeAutospacing="0" w:afterAutospacing="0" w:line="0" w:lineRule="atLeast"/>
        <w:ind w:firstLine="600"/>
        <w:jc w:val="both"/>
        <w:rPr>
          <w:color w:val="auto"/>
          <w:highlight w:val="none"/>
        </w:rPr>
      </w:pPr>
      <w:r>
        <w:rPr>
          <w:rFonts w:hint="eastAsia" w:ascii="宋体" w:hAnsi="宋体" w:eastAsia="宋体" w:cs="宋体"/>
          <w:color w:val="auto"/>
          <w:highlight w:val="none"/>
        </w:rPr>
        <w:t>31.2谈判文件、成交供应商的响应文件及谈判过程中有关澄清、承诺文件均应作为合同附件。</w:t>
      </w:r>
    </w:p>
    <w:p w14:paraId="7162DCDA">
      <w:pPr>
        <w:pStyle w:val="6"/>
        <w:spacing w:beforeAutospacing="0" w:afterAutospacing="0" w:line="0" w:lineRule="atLeast"/>
        <w:ind w:firstLine="600"/>
        <w:jc w:val="both"/>
      </w:pPr>
      <w:r>
        <w:rPr>
          <w:rFonts w:hint="eastAsia" w:ascii="宋体" w:hAnsi="宋体" w:eastAsia="宋体" w:cs="宋体"/>
          <w:color w:val="auto"/>
          <w:highlight w:val="none"/>
        </w:rPr>
        <w:t>31.3 签订合同后，</w:t>
      </w:r>
      <w:r>
        <w:rPr>
          <w:rFonts w:hint="eastAsia" w:ascii="宋体" w:hAnsi="宋体" w:eastAsia="宋体" w:cs="宋体"/>
          <w:i/>
          <w:color w:val="auto"/>
          <w:highlight w:val="none"/>
          <w:u w:val="single"/>
        </w:rPr>
        <w:t>成交供应商不得将合同标的进行转包</w:t>
      </w:r>
      <w:r>
        <w:rPr>
          <w:rFonts w:hint="eastAsia" w:ascii="宋体" w:hAnsi="宋体" w:eastAsia="宋体" w:cs="宋体"/>
          <w:color w:val="auto"/>
          <w:highlight w:val="none"/>
        </w:rPr>
        <w:t>。未经采购人同意，</w:t>
      </w:r>
      <w:r>
        <w:rPr>
          <w:rFonts w:hint="eastAsia" w:ascii="宋体" w:hAnsi="宋体" w:eastAsia="宋体" w:cs="宋体"/>
          <w:color w:val="000000"/>
        </w:rPr>
        <w:t>成交供应商也不得采用分包形式履行合同,否则采购人有权终止合同。转包或分包造成采购人损失的，成交供应商应承担相应赔偿责任。</w:t>
      </w:r>
    </w:p>
    <w:p w14:paraId="42D8C493">
      <w:pPr>
        <w:pStyle w:val="6"/>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（备注：项目经办人在发标前应与采购人商定是否允许成交供应商分包履行合同，确定后该备注删除）</w:t>
      </w:r>
    </w:p>
    <w:p w14:paraId="04DD2F5B">
      <w:pPr>
        <w:pStyle w:val="6"/>
        <w:keepNext/>
        <w:keepLines/>
        <w:spacing w:beforeAutospacing="0" w:afterAutospacing="0"/>
        <w:ind w:firstLine="600"/>
        <w:jc w:val="both"/>
      </w:pPr>
      <w:r>
        <w:rPr>
          <w:rFonts w:hint="eastAsia" w:ascii="黑体" w:hAnsi="宋体" w:eastAsia="黑体" w:cs="黑体"/>
          <w:color w:val="000000"/>
          <w:sz w:val="30"/>
          <w:szCs w:val="30"/>
        </w:rPr>
        <w:t>32、标的物的追加</w:t>
      </w:r>
    </w:p>
    <w:p w14:paraId="275C9CEF">
      <w:pPr>
        <w:pStyle w:val="6"/>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631BFC0B">
      <w:pPr>
        <w:pStyle w:val="6"/>
        <w:keepNext/>
        <w:keepLines/>
        <w:spacing w:beforeAutospacing="0" w:afterAutospacing="0"/>
        <w:ind w:firstLine="600"/>
        <w:jc w:val="both"/>
      </w:pPr>
      <w:bookmarkStart w:id="146" w:name="_Toc120614221"/>
      <w:bookmarkStart w:id="147" w:name="_Toc20823314"/>
      <w:bookmarkStart w:id="148" w:name="_Toc16938558"/>
      <w:bookmarkStart w:id="149" w:name="_Toc513029242"/>
      <w:bookmarkStart w:id="150" w:name="_Toc479757207"/>
      <w:r>
        <w:rPr>
          <w:rFonts w:hint="eastAsia" w:ascii="黑体" w:hAnsi="宋体" w:eastAsia="黑体" w:cs="黑体"/>
          <w:color w:val="000000"/>
          <w:sz w:val="30"/>
          <w:szCs w:val="30"/>
        </w:rPr>
        <w:t>33、</w:t>
      </w:r>
      <w:bookmarkEnd w:id="146"/>
      <w:bookmarkEnd w:id="147"/>
      <w:bookmarkEnd w:id="148"/>
      <w:bookmarkEnd w:id="149"/>
      <w:bookmarkEnd w:id="150"/>
      <w:r>
        <w:rPr>
          <w:rFonts w:hint="eastAsia" w:ascii="黑体" w:hAnsi="宋体" w:eastAsia="黑体" w:cs="黑体"/>
          <w:color w:val="000000"/>
          <w:sz w:val="30"/>
          <w:szCs w:val="30"/>
        </w:rPr>
        <w:t>政府采购</w:t>
      </w:r>
      <w:r>
        <w:rPr>
          <w:rFonts w:hint="eastAsia" w:ascii="黑体" w:hAnsi="宋体" w:eastAsia="黑体" w:cs="黑体"/>
          <w:color w:val="000000"/>
          <w:sz w:val="30"/>
          <w:szCs w:val="30"/>
          <w:lang w:eastAsia="zh-CN"/>
        </w:rPr>
        <w:t>线上合同信用融资</w:t>
      </w:r>
      <w:r>
        <w:rPr>
          <w:rFonts w:hint="eastAsia" w:ascii="黑体" w:hAnsi="宋体" w:eastAsia="黑体" w:cs="黑体"/>
          <w:color w:val="000000"/>
          <w:sz w:val="30"/>
          <w:szCs w:val="30"/>
        </w:rPr>
        <w:t>政策</w:t>
      </w:r>
    </w:p>
    <w:p w14:paraId="301D55BD">
      <w:pPr>
        <w:pStyle w:val="6"/>
        <w:keepNext/>
        <w:spacing w:beforeAutospacing="0" w:afterAutospacing="0"/>
        <w:ind w:firstLine="480" w:firstLineChars="200"/>
        <w:rPr>
          <w:highlight w:val="none"/>
        </w:rPr>
      </w:pPr>
      <w:r>
        <w:rPr>
          <w:rFonts w:hint="eastAsia" w:ascii="宋体" w:hAnsi="宋体" w:eastAsia="宋体" w:cs="宋体"/>
          <w:color w:val="000000"/>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3BB5756E">
      <w:pPr>
        <w:pStyle w:val="6"/>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6F03DE36">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554550CA">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2ECA6B48">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078DB8C6">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0AF7248F">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02EA7E3A">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0F8F3F93">
      <w:pPr>
        <w:pStyle w:val="6"/>
        <w:spacing w:beforeAutospacing="0" w:afterAutospacing="0" w:line="0" w:lineRule="atLeast"/>
        <w:ind w:firstLine="480"/>
        <w:jc w:val="both"/>
        <w:rPr>
          <w:rFonts w:ascii="宋体" w:hAnsi="宋体" w:eastAsia="宋体" w:cs="宋体"/>
          <w:color w:val="000000"/>
          <w:highlight w:val="red"/>
        </w:rPr>
      </w:pPr>
      <w:r>
        <w:rPr>
          <w:rFonts w:hint="eastAsia" w:ascii="宋体" w:hAnsi="宋体" w:eastAsia="宋体" w:cs="宋体"/>
          <w:color w:val="000000"/>
          <w:highlight w:val="red"/>
          <w:lang w:val="en-US" w:eastAsia="zh-CN"/>
        </w:rPr>
        <w:t>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w:t>
      </w:r>
    </w:p>
    <w:p w14:paraId="7A7CF4AC">
      <w:pPr>
        <w:pStyle w:val="6"/>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 </w:t>
      </w:r>
    </w:p>
    <w:p w14:paraId="0C2BD1BE">
      <w:pPr>
        <w:pStyle w:val="6"/>
        <w:spacing w:beforeAutospacing="0" w:afterAutospacing="0"/>
        <w:jc w:val="both"/>
      </w:pPr>
      <w:r>
        <w:t> </w:t>
      </w:r>
    </w:p>
    <w:p w14:paraId="311EF4FA">
      <w:pPr>
        <w:pStyle w:val="6"/>
        <w:keepNext/>
        <w:spacing w:beforeAutospacing="0" w:afterAutospacing="0"/>
        <w:ind w:firstLine="2640"/>
        <w:jc w:val="both"/>
      </w:pPr>
      <w:r>
        <w:t> </w:t>
      </w:r>
    </w:p>
    <w:p w14:paraId="5B19A5BD">
      <w:pPr>
        <w:pStyle w:val="6"/>
        <w:keepNext/>
        <w:spacing w:beforeAutospacing="0" w:afterAutospacing="0"/>
        <w:ind w:firstLine="2640"/>
        <w:jc w:val="both"/>
      </w:pPr>
      <w:r>
        <w:t> </w:t>
      </w:r>
    </w:p>
    <w:p w14:paraId="1DC39179">
      <w:pPr>
        <w:pStyle w:val="6"/>
        <w:keepNext/>
        <w:spacing w:beforeAutospacing="0" w:afterAutospacing="0"/>
        <w:ind w:firstLine="2640"/>
        <w:jc w:val="both"/>
      </w:pPr>
      <w:r>
        <w:t> </w:t>
      </w:r>
    </w:p>
    <w:p w14:paraId="2AB58375">
      <w:pPr>
        <w:pStyle w:val="6"/>
        <w:keepNext/>
        <w:spacing w:beforeAutospacing="0" w:afterAutospacing="0"/>
        <w:ind w:firstLine="2640"/>
        <w:jc w:val="both"/>
      </w:pPr>
      <w:r>
        <w:t> </w:t>
      </w:r>
    </w:p>
    <w:p w14:paraId="247927C5">
      <w:pPr>
        <w:pStyle w:val="6"/>
        <w:keepNext/>
        <w:spacing w:beforeAutospacing="0" w:afterAutospacing="0"/>
        <w:ind w:firstLine="2640"/>
        <w:jc w:val="both"/>
      </w:pPr>
      <w:r>
        <w:t> </w:t>
      </w:r>
    </w:p>
    <w:p w14:paraId="3C60C7A0">
      <w:pPr>
        <w:pStyle w:val="6"/>
        <w:keepNext/>
        <w:spacing w:beforeAutospacing="0" w:afterAutospacing="0"/>
        <w:ind w:firstLine="2640"/>
        <w:jc w:val="both"/>
      </w:pPr>
      <w:r>
        <w:t> </w:t>
      </w:r>
    </w:p>
    <w:p w14:paraId="084727F5">
      <w:pPr>
        <w:pStyle w:val="6"/>
        <w:keepNext/>
        <w:spacing w:beforeAutospacing="0" w:afterAutospacing="0"/>
        <w:ind w:firstLine="2640"/>
        <w:jc w:val="both"/>
        <w:rPr>
          <w:rFonts w:hint="eastAsia" w:ascii="黑体" w:hAnsi="宋体" w:eastAsia="黑体" w:cs="黑体"/>
          <w:color w:val="000000"/>
          <w:sz w:val="44"/>
          <w:szCs w:val="44"/>
        </w:rPr>
      </w:pPr>
    </w:p>
    <w:p w14:paraId="3D1765D0">
      <w:pPr>
        <w:pStyle w:val="6"/>
        <w:keepNext/>
        <w:spacing w:beforeAutospacing="0" w:afterAutospacing="0"/>
        <w:ind w:firstLine="2640"/>
        <w:jc w:val="both"/>
      </w:pPr>
      <w:r>
        <w:rPr>
          <w:rFonts w:hint="eastAsia" w:ascii="黑体" w:hAnsi="宋体" w:eastAsia="黑体" w:cs="黑体"/>
          <w:color w:val="000000"/>
          <w:sz w:val="44"/>
          <w:szCs w:val="44"/>
        </w:rPr>
        <w:t>第三章  合同文本</w:t>
      </w:r>
    </w:p>
    <w:p w14:paraId="0AC41180">
      <w:pPr>
        <w:pStyle w:val="6"/>
        <w:spacing w:beforeAutospacing="0" w:afterAutospacing="0" w:line="0" w:lineRule="atLeast"/>
        <w:ind w:firstLine="480"/>
        <w:jc w:val="both"/>
      </w:pPr>
      <w:bookmarkStart w:id="151" w:name="_Toc16938559"/>
      <w:bookmarkStart w:id="152" w:name="_Toc513029243"/>
      <w:bookmarkStart w:id="153" w:name="_Toc20823315"/>
      <w:r>
        <w:rPr>
          <w:rFonts w:hint="eastAsia" w:ascii="宋体" w:hAnsi="宋体" w:eastAsia="宋体" w:cs="宋体"/>
          <w:color w:val="000000"/>
        </w:rPr>
        <w:t>以下为成交后签定本项目合同的通用条款，成交供应商不得提出实质性的修改。</w:t>
      </w:r>
      <w:bookmarkEnd w:id="151"/>
      <w:bookmarkEnd w:id="152"/>
      <w:bookmarkEnd w:id="153"/>
    </w:p>
    <w:p w14:paraId="04DF62F6">
      <w:pPr>
        <w:pStyle w:val="6"/>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w:t>
      </w:r>
    </w:p>
    <w:p w14:paraId="0408B13E">
      <w:pPr>
        <w:pStyle w:val="6"/>
        <w:spacing w:before="145" w:beforeAutospacing="0" w:after="145" w:afterAutospacing="0"/>
        <w:jc w:val="center"/>
      </w:pPr>
      <w:r>
        <w:t> </w:t>
      </w:r>
    </w:p>
    <w:p w14:paraId="4628C3BB">
      <w:pPr>
        <w:pStyle w:val="6"/>
        <w:spacing w:before="145" w:beforeAutospacing="0" w:after="145" w:afterAutospacing="0"/>
        <w:jc w:val="center"/>
      </w:pPr>
      <w:r>
        <w:rPr>
          <w:rFonts w:hint="eastAsia" w:ascii="宋体" w:hAnsi="宋体" w:eastAsia="宋体" w:cs="宋体"/>
          <w:b/>
          <w:color w:val="000000"/>
          <w:sz w:val="30"/>
          <w:szCs w:val="30"/>
        </w:rPr>
        <w:t>盐城市政府采购合同（合同编号）</w:t>
      </w:r>
    </w:p>
    <w:p w14:paraId="2729ECC9">
      <w:pPr>
        <w:pStyle w:val="6"/>
        <w:spacing w:before="120" w:beforeAutospacing="0" w:after="120" w:afterAutospacing="0"/>
        <w:jc w:val="both"/>
        <w:rPr>
          <w:rFonts w:ascii="宋体" w:hAnsi="宋体" w:eastAsia="宋体" w:cs="宋体"/>
          <w:color w:val="000000"/>
        </w:rPr>
      </w:pPr>
      <w:r>
        <w:rPr>
          <w:rFonts w:hint="eastAsia" w:ascii="宋体" w:hAnsi="宋体" w:eastAsia="宋体" w:cs="宋体"/>
          <w:color w:val="000000"/>
        </w:rPr>
        <w:t xml:space="preserve">项目名称：              </w:t>
      </w:r>
    </w:p>
    <w:p w14:paraId="449047EF">
      <w:pPr>
        <w:pStyle w:val="6"/>
        <w:spacing w:before="120" w:beforeAutospacing="0" w:after="120" w:afterAutospacing="0"/>
        <w:jc w:val="both"/>
      </w:pPr>
      <w:r>
        <w:rPr>
          <w:rFonts w:hint="eastAsia" w:ascii="宋体" w:hAnsi="宋体" w:eastAsia="宋体" w:cs="宋体"/>
          <w:color w:val="000000"/>
        </w:rPr>
        <w:t>项目编号：</w:t>
      </w:r>
    </w:p>
    <w:p w14:paraId="70448902">
      <w:pPr>
        <w:pStyle w:val="6"/>
        <w:spacing w:before="120" w:beforeAutospacing="0" w:after="120" w:afterAutospacing="0"/>
        <w:jc w:val="both"/>
      </w:pPr>
      <w:r>
        <w:rPr>
          <w:rFonts w:hint="eastAsia" w:ascii="宋体" w:hAnsi="宋体" w:eastAsia="宋体" w:cs="宋体"/>
          <w:color w:val="000000"/>
        </w:rPr>
        <w:t>甲方：（买方）_________</w:t>
      </w:r>
    </w:p>
    <w:p w14:paraId="548F2DAF">
      <w:pPr>
        <w:pStyle w:val="6"/>
        <w:spacing w:before="120" w:beforeAutospacing="0" w:after="120" w:afterAutospacing="0"/>
        <w:jc w:val="both"/>
      </w:pPr>
      <w:r>
        <w:rPr>
          <w:rFonts w:hint="eastAsia" w:ascii="宋体" w:hAnsi="宋体" w:eastAsia="宋体" w:cs="宋体"/>
          <w:color w:val="000000"/>
        </w:rPr>
        <w:t>乙方：（卖方）_________</w:t>
      </w:r>
    </w:p>
    <w:p w14:paraId="199716D8">
      <w:pPr>
        <w:pStyle w:val="6"/>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项目竞争性谈判的结果，签署本合同。</w:t>
      </w:r>
    </w:p>
    <w:p w14:paraId="6099FE51">
      <w:pPr>
        <w:pStyle w:val="6"/>
        <w:spacing w:before="120" w:beforeAutospacing="0" w:after="120" w:afterAutospacing="0"/>
        <w:jc w:val="both"/>
      </w:pPr>
      <w:r>
        <w:rPr>
          <w:rFonts w:hint="eastAsia" w:ascii="宋体" w:hAnsi="宋体" w:eastAsia="宋体" w:cs="宋体"/>
          <w:b/>
          <w:color w:val="000000"/>
        </w:rPr>
        <w:t>一、合同内容</w:t>
      </w:r>
    </w:p>
    <w:p w14:paraId="0969936F">
      <w:pPr>
        <w:pStyle w:val="6"/>
        <w:spacing w:before="120" w:beforeAutospacing="0" w:after="120" w:afterAutospacing="0"/>
        <w:jc w:val="both"/>
      </w:pPr>
      <w:r>
        <w:rPr>
          <w:rFonts w:hint="eastAsia" w:ascii="宋体" w:hAnsi="宋体" w:eastAsia="宋体" w:cs="宋体"/>
          <w:color w:val="000000"/>
        </w:rPr>
        <w:t>1.1 标的名称：</w:t>
      </w:r>
    </w:p>
    <w:p w14:paraId="22D47AD5">
      <w:pPr>
        <w:pStyle w:val="6"/>
        <w:spacing w:before="120" w:beforeAutospacing="0" w:after="120" w:afterAutospacing="0"/>
        <w:jc w:val="both"/>
      </w:pPr>
      <w:r>
        <w:rPr>
          <w:rFonts w:hint="eastAsia" w:ascii="宋体" w:hAnsi="宋体" w:eastAsia="宋体" w:cs="宋体"/>
          <w:color w:val="000000"/>
        </w:rPr>
        <w:t>1.2 标的质量：</w:t>
      </w:r>
    </w:p>
    <w:p w14:paraId="4355BD91">
      <w:pPr>
        <w:pStyle w:val="6"/>
        <w:spacing w:before="120" w:beforeAutospacing="0" w:after="120" w:afterAutospacing="0"/>
        <w:jc w:val="both"/>
      </w:pPr>
      <w:r>
        <w:rPr>
          <w:rFonts w:hint="eastAsia" w:ascii="宋体" w:hAnsi="宋体" w:eastAsia="宋体" w:cs="宋体"/>
          <w:color w:val="000000"/>
        </w:rPr>
        <w:t>1.3 标的数量（规模）：</w:t>
      </w:r>
    </w:p>
    <w:p w14:paraId="3F90AA54">
      <w:pPr>
        <w:pStyle w:val="6"/>
        <w:spacing w:before="120" w:beforeAutospacing="0" w:after="120" w:afterAutospacing="0"/>
        <w:jc w:val="both"/>
      </w:pPr>
      <w:r>
        <w:rPr>
          <w:rFonts w:hint="eastAsia" w:ascii="宋体" w:hAnsi="宋体" w:eastAsia="宋体" w:cs="宋体"/>
          <w:color w:val="000000"/>
        </w:rPr>
        <w:t>1.4 履行时间（期限）：</w:t>
      </w:r>
    </w:p>
    <w:p w14:paraId="135A9F79">
      <w:pPr>
        <w:pStyle w:val="6"/>
        <w:spacing w:before="120" w:beforeAutospacing="0" w:after="120" w:afterAutospacing="0"/>
        <w:jc w:val="both"/>
      </w:pPr>
      <w:r>
        <w:rPr>
          <w:rFonts w:hint="eastAsia" w:ascii="宋体" w:hAnsi="宋体" w:eastAsia="宋体" w:cs="宋体"/>
          <w:color w:val="000000"/>
        </w:rPr>
        <w:t>1.5 履行地点：</w:t>
      </w:r>
    </w:p>
    <w:p w14:paraId="7BDFC059">
      <w:pPr>
        <w:pStyle w:val="6"/>
        <w:spacing w:before="120" w:beforeAutospacing="0" w:after="120" w:afterAutospacing="0"/>
        <w:jc w:val="both"/>
      </w:pPr>
      <w:r>
        <w:rPr>
          <w:rFonts w:hint="eastAsia" w:ascii="宋体" w:hAnsi="宋体" w:eastAsia="宋体" w:cs="宋体"/>
          <w:color w:val="000000"/>
        </w:rPr>
        <w:t>1.6 履行方式：</w:t>
      </w:r>
    </w:p>
    <w:p w14:paraId="028D05AD">
      <w:pPr>
        <w:pStyle w:val="6"/>
        <w:spacing w:before="120" w:beforeAutospacing="0" w:after="120" w:afterAutospacing="0"/>
        <w:jc w:val="both"/>
      </w:pPr>
      <w:r>
        <w:rPr>
          <w:rFonts w:hint="eastAsia" w:ascii="宋体" w:hAnsi="宋体" w:eastAsia="宋体" w:cs="宋体"/>
          <w:b/>
          <w:color w:val="000000"/>
        </w:rPr>
        <w:t>二、合同金额</w:t>
      </w:r>
    </w:p>
    <w:p w14:paraId="3B3A11AC">
      <w:pPr>
        <w:pStyle w:val="6"/>
        <w:spacing w:before="120" w:beforeAutospacing="0" w:after="120" w:afterAutospacing="0"/>
        <w:ind w:left="410" w:hanging="410"/>
        <w:jc w:val="both"/>
      </w:pPr>
      <w:r>
        <w:rPr>
          <w:rFonts w:hint="eastAsia" w:ascii="宋体" w:hAnsi="宋体" w:eastAsia="宋体" w:cs="宋体"/>
          <w:color w:val="000000"/>
        </w:rPr>
        <w:t>2.1 本合同金额为（大写）：____________________________________圆（_______________元）人民币或其他币种。</w:t>
      </w:r>
    </w:p>
    <w:p w14:paraId="674E15E5">
      <w:pPr>
        <w:pStyle w:val="6"/>
        <w:spacing w:before="120" w:beforeAutospacing="0" w:after="120" w:afterAutospacing="0"/>
        <w:jc w:val="both"/>
      </w:pPr>
      <w:r>
        <w:rPr>
          <w:rFonts w:hint="eastAsia" w:ascii="宋体" w:hAnsi="宋体" w:eastAsia="宋体" w:cs="宋体"/>
          <w:b/>
          <w:color w:val="000000"/>
        </w:rPr>
        <w:t>三、技术资料</w:t>
      </w:r>
    </w:p>
    <w:p w14:paraId="5A7DF7CB">
      <w:pPr>
        <w:pStyle w:val="6"/>
        <w:spacing w:before="120" w:beforeAutospacing="0" w:after="120" w:afterAutospacing="0"/>
        <w:ind w:left="410" w:hanging="410"/>
        <w:jc w:val="both"/>
      </w:pPr>
      <w:r>
        <w:rPr>
          <w:rFonts w:hint="eastAsia" w:ascii="宋体" w:hAnsi="宋体" w:eastAsia="宋体" w:cs="宋体"/>
          <w:color w:val="000000"/>
        </w:rPr>
        <w:t>3.1乙方应按谈判文件规定的时间向甲方提供与合同标的有关的技术资料。</w:t>
      </w:r>
    </w:p>
    <w:p w14:paraId="5475D44B">
      <w:pPr>
        <w:pStyle w:val="6"/>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0908C7B">
      <w:pPr>
        <w:pStyle w:val="6"/>
        <w:spacing w:before="120" w:beforeAutospacing="0" w:after="120" w:afterAutospacing="0"/>
        <w:ind w:left="412" w:hanging="412"/>
        <w:jc w:val="both"/>
      </w:pPr>
      <w:r>
        <w:rPr>
          <w:rFonts w:hint="eastAsia" w:ascii="宋体" w:hAnsi="宋体" w:eastAsia="宋体" w:cs="宋体"/>
          <w:b/>
          <w:color w:val="000000"/>
        </w:rPr>
        <w:t>四、知识产权</w:t>
      </w:r>
    </w:p>
    <w:p w14:paraId="4C2178A3">
      <w:pPr>
        <w:pStyle w:val="6"/>
        <w:spacing w:before="120" w:beforeAutospacing="0" w:after="120" w:afterAutospacing="0"/>
        <w:ind w:left="408" w:hanging="408"/>
        <w:jc w:val="both"/>
      </w:pPr>
      <w:r>
        <w:rPr>
          <w:rFonts w:hint="eastAsia" w:ascii="宋体" w:hAnsi="宋体" w:eastAsia="宋体" w:cs="宋体"/>
          <w:color w:val="000000"/>
        </w:rPr>
        <w:t>4.1乙方应保证甲方在使用、接受本合同标的或其任何一部分时不受第三方提出侵犯其专利权、版权、商标权和工业设计权等知识产权的起诉。一旦出现侵权，由乙方负全部责任。</w:t>
      </w:r>
    </w:p>
    <w:p w14:paraId="240874C6">
      <w:pPr>
        <w:pStyle w:val="6"/>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谈判文件采购人确认后正式发布前删除该备注）。</w:t>
      </w:r>
    </w:p>
    <w:p w14:paraId="1D27A209">
      <w:pPr>
        <w:pStyle w:val="6"/>
        <w:spacing w:before="120" w:beforeAutospacing="0" w:after="120" w:afterAutospacing="0"/>
        <w:jc w:val="both"/>
      </w:pPr>
      <w:r>
        <w:rPr>
          <w:rFonts w:hint="eastAsia" w:ascii="宋体" w:hAnsi="宋体" w:eastAsia="宋体" w:cs="宋体"/>
          <w:b/>
          <w:color w:val="000000"/>
        </w:rPr>
        <w:t>五、产权担保</w:t>
      </w:r>
    </w:p>
    <w:p w14:paraId="1352F574">
      <w:pPr>
        <w:pStyle w:val="6"/>
        <w:spacing w:before="120" w:beforeAutospacing="0" w:after="120" w:afterAutospacing="0"/>
        <w:ind w:left="408" w:hanging="408"/>
        <w:jc w:val="both"/>
      </w:pPr>
      <w:r>
        <w:rPr>
          <w:rFonts w:hint="eastAsia" w:ascii="宋体" w:hAnsi="宋体" w:eastAsia="宋体" w:cs="宋体"/>
          <w:color w:val="000000"/>
        </w:rPr>
        <w:t>5.1 乙方保证所交付的合同标的的所有权完全属于乙方且无任何抵押、查封等产权瑕疵。</w:t>
      </w:r>
    </w:p>
    <w:p w14:paraId="0CE71358">
      <w:pPr>
        <w:pStyle w:val="6"/>
        <w:spacing w:before="120" w:beforeAutospacing="0" w:after="120" w:afterAutospacing="0"/>
        <w:ind w:left="410" w:hanging="410"/>
        <w:jc w:val="both"/>
      </w:pPr>
      <w:r>
        <w:rPr>
          <w:rFonts w:hint="eastAsia" w:ascii="宋体" w:hAnsi="宋体" w:eastAsia="宋体" w:cs="宋体"/>
          <w:b/>
          <w:color w:val="000000"/>
        </w:rPr>
        <w:t>六、履约保证金</w:t>
      </w:r>
    </w:p>
    <w:p w14:paraId="00BFCB2A">
      <w:pPr>
        <w:pStyle w:val="6"/>
        <w:spacing w:before="120" w:beforeAutospacing="0" w:after="120" w:afterAutospacing="0"/>
        <w:jc w:val="both"/>
        <w:rPr>
          <w:rFonts w:hint="eastAsia" w:ascii="宋体" w:hAnsi="宋体" w:eastAsia="宋体" w:cs="宋体"/>
          <w:color w:val="000000"/>
        </w:rPr>
      </w:pPr>
      <w:r>
        <w:rPr>
          <w:rFonts w:hint="eastAsia" w:ascii="宋体" w:hAnsi="宋体" w:eastAsia="宋体" w:cs="宋体"/>
          <w:color w:val="000000"/>
        </w:rPr>
        <w:t>6.1 乙方交纳人民币_________元作为本合同的履约保证金。</w:t>
      </w:r>
    </w:p>
    <w:p w14:paraId="09A43D78">
      <w:pPr>
        <w:pStyle w:val="6"/>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2757A3A7">
      <w:pPr>
        <w:pStyle w:val="6"/>
        <w:spacing w:before="120" w:beforeAutospacing="0" w:after="120" w:afterAutospacing="0"/>
        <w:jc w:val="both"/>
        <w:rPr>
          <w:rFonts w:hint="eastAsia" w:ascii="宋体" w:hAnsi="宋体" w:eastAsia="宋体" w:cs="宋体"/>
          <w:color w:val="auto"/>
          <w:lang w:eastAsia="zh-CN"/>
        </w:rPr>
      </w:pPr>
      <w:r>
        <w:rPr>
          <w:rFonts w:hint="eastAsia" w:ascii="宋体" w:hAnsi="宋体" w:eastAsia="宋体" w:cs="宋体"/>
          <w:color w:val="auto"/>
        </w:rPr>
        <w:t>6.</w:t>
      </w:r>
      <w:r>
        <w:rPr>
          <w:rFonts w:hint="eastAsia" w:ascii="宋体" w:hAnsi="宋体" w:eastAsia="宋体" w:cs="宋体"/>
          <w:color w:val="auto"/>
          <w:lang w:val="en-US" w:eastAsia="zh-CN"/>
        </w:rPr>
        <w:t>2确需收取履约保证金的，</w:t>
      </w:r>
      <w:r>
        <w:rPr>
          <w:rFonts w:hint="eastAsia" w:ascii="宋体" w:hAnsi="宋体" w:eastAsia="宋体" w:cs="宋体"/>
          <w:color w:val="auto"/>
          <w:lang w:eastAsia="zh-CN"/>
        </w:rPr>
        <w:t>履约保证金的缴纳形式：</w:t>
      </w:r>
    </w:p>
    <w:p w14:paraId="4623C37F">
      <w:pPr>
        <w:pStyle w:val="6"/>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eastAsia="zh-CN"/>
        </w:rPr>
      </w:pPr>
      <w:r>
        <w:rPr>
          <w:rFonts w:hint="eastAsia" w:ascii="宋体" w:hAnsi="宋体" w:eastAsia="宋体" w:cs="宋体"/>
          <w:color w:val="auto"/>
          <w:lang w:val="en-US" w:eastAsia="zh-CN"/>
        </w:rPr>
        <w:t>6.2.1</w:t>
      </w:r>
      <w:r>
        <w:rPr>
          <w:rFonts w:hint="eastAsia" w:ascii="宋体" w:hAnsi="宋体" w:eastAsia="宋体" w:cs="宋体"/>
          <w:color w:val="auto"/>
        </w:rPr>
        <w:t>供应商应当以支票、汇票、本票或者金融机构、担保机构出具的保函等非现金形式提交</w:t>
      </w:r>
      <w:r>
        <w:rPr>
          <w:rFonts w:hint="eastAsia" w:ascii="宋体" w:hAnsi="宋体" w:eastAsia="宋体" w:cs="宋体"/>
          <w:color w:val="auto"/>
          <w:lang w:eastAsia="zh-CN"/>
        </w:rPr>
        <w:t>履约保证金</w:t>
      </w:r>
      <w:r>
        <w:rPr>
          <w:rFonts w:hint="eastAsia" w:ascii="宋体" w:hAnsi="宋体" w:eastAsia="宋体" w:cs="宋体"/>
          <w:color w:val="auto"/>
        </w:rPr>
        <w:t>。依据《关于在全省政府采购领域推行电子履约保函（保险）的通知》，鼓励供应商自愿使用</w:t>
      </w:r>
      <w:r>
        <w:rPr>
          <w:rFonts w:hint="eastAsia" w:ascii="宋体" w:hAnsi="宋体" w:eastAsia="宋体" w:cs="宋体"/>
          <w:color w:val="auto"/>
          <w:lang w:eastAsia="zh-CN"/>
        </w:rPr>
        <w:t>电子</w:t>
      </w:r>
      <w:r>
        <w:rPr>
          <w:rFonts w:hint="eastAsia" w:ascii="宋体" w:hAnsi="宋体" w:eastAsia="宋体" w:cs="宋体"/>
          <w:color w:val="auto"/>
        </w:rPr>
        <w:t>履约保函（保险）代替缴纳履约保证金</w:t>
      </w:r>
      <w:r>
        <w:rPr>
          <w:rFonts w:hint="eastAsia" w:ascii="宋体" w:hAnsi="宋体" w:eastAsia="宋体" w:cs="宋体"/>
          <w:color w:val="auto"/>
          <w:lang w:eastAsia="zh-CN"/>
        </w:rPr>
        <w:t>。</w:t>
      </w:r>
    </w:p>
    <w:p w14:paraId="1FAFD275">
      <w:pPr>
        <w:pStyle w:val="6"/>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6.2.2 如以履约保函（保险）形式缴纳履约保证金，供应商可通过政府采购电子履约保函（保险）平台（www.jsdzbh.com）在线申请履约保函（保险）。</w:t>
      </w:r>
    </w:p>
    <w:p w14:paraId="0ED9FD06">
      <w:pPr>
        <w:pStyle w:val="6"/>
        <w:spacing w:before="120" w:beforeAutospacing="0" w:after="120" w:afterAutospacing="0"/>
        <w:ind w:left="408" w:hanging="408"/>
        <w:jc w:val="both"/>
      </w:pPr>
      <w:r>
        <w:rPr>
          <w:rFonts w:hint="eastAsia" w:ascii="宋体" w:hAnsi="宋体" w:eastAsia="宋体" w:cs="宋体"/>
          <w:color w:val="000000"/>
        </w:rPr>
        <w:t>6.</w:t>
      </w:r>
      <w:r>
        <w:rPr>
          <w:rFonts w:hint="eastAsia" w:ascii="宋体" w:hAnsi="宋体" w:eastAsia="宋体" w:cs="宋体"/>
          <w:color w:val="000000"/>
          <w:lang w:val="en-US" w:eastAsia="zh-CN"/>
        </w:rPr>
        <w:t>3</w:t>
      </w:r>
      <w:r>
        <w:rPr>
          <w:rFonts w:hint="eastAsia" w:ascii="宋体" w:hAnsi="宋体" w:eastAsia="宋体" w:cs="宋体"/>
          <w:color w:val="000000"/>
        </w:rPr>
        <w:t>合同履行结束后，甲方应及时退还交纳的履约保证金。</w:t>
      </w:r>
    </w:p>
    <w:p w14:paraId="28069F3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2CEC94BE">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63D0E73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09747BC0">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2335B6A6">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50296F92">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49E165B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674B76A7">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56619FEE">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2EE439B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5588277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5573079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258E34D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1AA7ADB9">
      <w:pPr>
        <w:pStyle w:val="6"/>
        <w:spacing w:before="145" w:beforeAutospacing="0" w:after="145" w:afterAutospacing="0"/>
        <w:jc w:val="both"/>
      </w:pPr>
      <w:r>
        <w:rPr>
          <w:rFonts w:hint="eastAsia" w:ascii="宋体" w:hAnsi="宋体" w:eastAsia="宋体" w:cs="宋体"/>
          <w:b/>
          <w:color w:val="000000"/>
        </w:rPr>
        <w:t>七、合同转包或分包</w:t>
      </w:r>
    </w:p>
    <w:p w14:paraId="1A429B19">
      <w:pPr>
        <w:pStyle w:val="6"/>
        <w:spacing w:before="145" w:beforeAutospacing="0" w:after="145" w:afterAutospacing="0"/>
        <w:jc w:val="both"/>
      </w:pPr>
      <w:r>
        <w:rPr>
          <w:rFonts w:hint="eastAsia" w:ascii="宋体" w:hAnsi="宋体" w:eastAsia="宋体" w:cs="宋体"/>
          <w:color w:val="000000"/>
        </w:rPr>
        <w:t>7.1乙方不得将合同标的转包给他人履行。</w:t>
      </w:r>
    </w:p>
    <w:p w14:paraId="5CD670DE">
      <w:pPr>
        <w:pStyle w:val="6"/>
        <w:spacing w:before="145" w:beforeAutospacing="0" w:after="145" w:afterAutospacing="0"/>
        <w:jc w:val="both"/>
      </w:pPr>
      <w:r>
        <w:rPr>
          <w:rFonts w:hint="eastAsia" w:ascii="宋体" w:hAnsi="宋体" w:eastAsia="宋体" w:cs="宋体"/>
          <w:color w:val="000000"/>
        </w:rPr>
        <w:t>7.2乙方不得将合同标的分包给他人履行。</w:t>
      </w:r>
    </w:p>
    <w:p w14:paraId="63D1383D">
      <w:pPr>
        <w:pStyle w:val="6"/>
        <w:spacing w:before="145" w:beforeAutospacing="0" w:after="145" w:afterAutospacing="0"/>
        <w:jc w:val="both"/>
      </w:pPr>
      <w:r>
        <w:rPr>
          <w:rFonts w:hint="eastAsia" w:ascii="宋体" w:hAnsi="宋体" w:eastAsia="宋体" w:cs="宋体"/>
          <w:color w:val="000000"/>
        </w:rPr>
        <w:t>或7.2 乙方应当按照响应文件中提供的分包意向协议履行合同。</w:t>
      </w:r>
    </w:p>
    <w:p w14:paraId="26AD6F70">
      <w:pPr>
        <w:pStyle w:val="6"/>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7E3D9F89">
      <w:pPr>
        <w:pStyle w:val="6"/>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0F5BF294">
      <w:pPr>
        <w:pStyle w:val="6"/>
        <w:spacing w:before="120" w:beforeAutospacing="0" w:after="120" w:afterAutospacing="0"/>
        <w:jc w:val="both"/>
      </w:pPr>
      <w:r>
        <w:rPr>
          <w:rFonts w:hint="eastAsia" w:ascii="宋体" w:hAnsi="宋体" w:eastAsia="宋体" w:cs="宋体"/>
          <w:b/>
          <w:color w:val="000000"/>
        </w:rPr>
        <w:t>八、合同款项支付</w:t>
      </w:r>
    </w:p>
    <w:p w14:paraId="3F9D6A25">
      <w:pPr>
        <w:pStyle w:val="6"/>
        <w:spacing w:before="120" w:beforeAutospacing="0" w:after="120" w:afterAutospacing="0"/>
        <w:jc w:val="both"/>
      </w:pPr>
      <w:r>
        <w:rPr>
          <w:rFonts w:hint="eastAsia" w:ascii="宋体" w:hAnsi="宋体" w:eastAsia="宋体" w:cs="宋体"/>
          <w:color w:val="000000"/>
        </w:rPr>
        <w:t>8.1合同款项的支付方式及进度安排</w:t>
      </w:r>
    </w:p>
    <w:p w14:paraId="7E7161D0">
      <w:pPr>
        <w:pStyle w:val="6"/>
        <w:spacing w:before="120" w:beforeAutospacing="0" w:after="120" w:afterAutospacing="0"/>
        <w:jc w:val="both"/>
      </w:pPr>
      <w:r>
        <w:rPr>
          <w:rFonts w:hint="eastAsia" w:ascii="宋体" w:hAnsi="宋体" w:eastAsia="宋体" w:cs="宋体"/>
          <w:color w:val="000000"/>
        </w:rPr>
        <w:t>8.1.1 预付款</w:t>
      </w:r>
      <w:r>
        <w:rPr>
          <w:rFonts w:hint="eastAsia" w:ascii="宋体" w:hAnsi="宋体" w:eastAsia="宋体" w:cs="宋体"/>
          <w:color w:val="000000"/>
          <w:lang w:val="en-US" w:eastAsia="zh-CN"/>
        </w:rPr>
        <w:t xml:space="preserve">  </w:t>
      </w:r>
      <w:r>
        <w:rPr>
          <w:rFonts w:hint="eastAsia" w:ascii="宋体" w:hAnsi="宋体" w:eastAsia="宋体" w:cs="宋体"/>
          <w:color w:val="000000"/>
        </w:rPr>
        <w:t>支付时间：合同签订后</w:t>
      </w:r>
      <w:r>
        <w:rPr>
          <w:rFonts w:hint="eastAsia" w:ascii="宋体" w:hAnsi="宋体" w:eastAsia="宋体" w:cs="宋体"/>
          <w:color w:val="000000"/>
          <w:u w:val="none"/>
          <w:lang w:eastAsia="zh-CN"/>
        </w:rPr>
        <w:t>，</w:t>
      </w:r>
      <w:r>
        <w:rPr>
          <w:rFonts w:hint="eastAsia" w:ascii="宋体" w:hAnsi="宋体" w:eastAsia="宋体" w:cs="宋体"/>
          <w:color w:val="000000"/>
          <w:u w:val="none"/>
        </w:rPr>
        <w:t>采购人收到发票后10个工作日内，</w:t>
      </w:r>
      <w:r>
        <w:rPr>
          <w:rFonts w:hint="eastAsia" w:ascii="宋体" w:hAnsi="宋体" w:eastAsia="宋体" w:cs="宋体"/>
          <w:color w:val="000000"/>
        </w:rPr>
        <w:t>预付款支付比例：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187EB1C1">
      <w:pPr>
        <w:pStyle w:val="6"/>
        <w:spacing w:before="120" w:beforeAutospacing="0" w:after="120" w:afterAutospacing="0"/>
        <w:jc w:val="both"/>
      </w:pPr>
      <w:r>
        <w:rPr>
          <w:rFonts w:hint="eastAsia" w:ascii="宋体" w:hAnsi="宋体" w:eastAsia="宋体" w:cs="宋体"/>
          <w:color w:val="000000"/>
        </w:rPr>
        <w:t>8.1.2 尾款  支付时间：产品验收通过/服务结束并验收合格,采购人收到发票后10个工作日内，尾款支付比例：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6E3989D1">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257A9415">
      <w:pPr>
        <w:pStyle w:val="6"/>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6EDF167C">
      <w:pPr>
        <w:pStyle w:val="6"/>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1C16E09F">
      <w:pPr>
        <w:pStyle w:val="6"/>
        <w:spacing w:before="145" w:beforeAutospacing="0" w:after="145" w:afterAutospacing="0"/>
        <w:jc w:val="both"/>
      </w:pPr>
      <w:r>
        <w:rPr>
          <w:rFonts w:hint="eastAsia" w:ascii="宋体" w:hAnsi="宋体" w:eastAsia="宋体" w:cs="宋体"/>
          <w:b/>
          <w:color w:val="000000"/>
        </w:rPr>
        <w:t>九、税费</w:t>
      </w:r>
    </w:p>
    <w:p w14:paraId="52743E7D">
      <w:pPr>
        <w:pStyle w:val="6"/>
        <w:spacing w:before="145" w:beforeAutospacing="0" w:after="145" w:afterAutospacing="0"/>
        <w:jc w:val="both"/>
      </w:pPr>
      <w:r>
        <w:rPr>
          <w:rFonts w:hint="eastAsia" w:ascii="宋体" w:hAnsi="宋体" w:eastAsia="宋体" w:cs="宋体"/>
          <w:color w:val="000000"/>
        </w:rPr>
        <w:t>9.1本合同执行中相关的一切税费均由乙方负担。</w:t>
      </w:r>
    </w:p>
    <w:p w14:paraId="392BEC21">
      <w:pPr>
        <w:pStyle w:val="6"/>
        <w:spacing w:before="120" w:beforeAutospacing="0" w:after="120" w:afterAutospacing="0"/>
        <w:jc w:val="both"/>
      </w:pPr>
      <w:r>
        <w:rPr>
          <w:rFonts w:hint="eastAsia" w:ascii="宋体" w:hAnsi="宋体" w:eastAsia="宋体" w:cs="宋体"/>
          <w:b/>
          <w:color w:val="000000"/>
        </w:rPr>
        <w:t>十、项目验收</w:t>
      </w:r>
    </w:p>
    <w:p w14:paraId="39424ACC">
      <w:pPr>
        <w:pStyle w:val="6"/>
        <w:spacing w:before="120" w:beforeAutospacing="0" w:after="120" w:afterAutospacing="0"/>
        <w:ind w:left="480" w:hanging="480"/>
        <w:jc w:val="both"/>
      </w:pPr>
      <w:r>
        <w:rPr>
          <w:rFonts w:hint="eastAsia" w:ascii="宋体" w:hAnsi="宋体" w:eastAsia="宋体" w:cs="宋体"/>
          <w:color w:val="000000"/>
        </w:rPr>
        <w:t>10.1 甲方依法组织履约验收工作。</w:t>
      </w:r>
    </w:p>
    <w:p w14:paraId="740F701F">
      <w:pPr>
        <w:pStyle w:val="6"/>
        <w:spacing w:before="120" w:beforeAutospacing="0" w:after="120" w:afterAutospacing="0"/>
        <w:ind w:left="480" w:hanging="480"/>
        <w:jc w:val="both"/>
      </w:pPr>
      <w:r>
        <w:rPr>
          <w:rFonts w:hint="eastAsia" w:ascii="宋体" w:hAnsi="宋体" w:eastAsia="宋体" w:cs="宋体"/>
          <w:color w:val="000000"/>
        </w:rPr>
        <w:t>10.2 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428BD599">
      <w:pPr>
        <w:pStyle w:val="6"/>
        <w:spacing w:before="120" w:beforeAutospacing="0" w:after="120" w:afterAutospacing="0"/>
        <w:ind w:left="480" w:hanging="480"/>
        <w:jc w:val="both"/>
      </w:pPr>
      <w:r>
        <w:rPr>
          <w:rFonts w:hint="eastAsia" w:ascii="宋体" w:hAnsi="宋体" w:eastAsia="宋体" w:cs="宋体"/>
          <w:color w:val="000000"/>
        </w:rPr>
        <w:t>10.3 对于实际使用人和甲方分离的项目，甲方邀请实际使用人参与验收。</w:t>
      </w:r>
    </w:p>
    <w:p w14:paraId="7FF73157">
      <w:pPr>
        <w:pStyle w:val="6"/>
        <w:spacing w:before="120" w:beforeAutospacing="0" w:after="120" w:afterAutospacing="0"/>
        <w:ind w:left="480" w:hanging="480"/>
        <w:jc w:val="both"/>
      </w:pPr>
      <w:r>
        <w:rPr>
          <w:rFonts w:hint="eastAsia" w:ascii="宋体" w:hAnsi="宋体" w:eastAsia="宋体" w:cs="宋体"/>
          <w:color w:val="000000"/>
        </w:rPr>
        <w:t>10.4 如有必要，甲方邀请参加本项目的其他供应商或第三方专业机构及专家参与验收，相关意见将作为验收书的参考资料。</w:t>
      </w:r>
    </w:p>
    <w:p w14:paraId="443C90E4">
      <w:pPr>
        <w:pStyle w:val="6"/>
        <w:spacing w:before="120" w:beforeAutospacing="0" w:after="120" w:afterAutospacing="0"/>
        <w:ind w:left="480" w:hanging="480"/>
        <w:jc w:val="both"/>
      </w:pPr>
      <w:r>
        <w:rPr>
          <w:rFonts w:hint="eastAsia" w:ascii="宋体" w:hAnsi="宋体" w:eastAsia="宋体" w:cs="宋体"/>
          <w:color w:val="000000"/>
        </w:rPr>
        <w:t>10.5 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668356C8">
      <w:pPr>
        <w:pStyle w:val="6"/>
        <w:spacing w:before="120" w:beforeAutospacing="0" w:after="120" w:afterAutospacing="0"/>
        <w:ind w:left="480" w:hanging="480"/>
        <w:jc w:val="both"/>
      </w:pPr>
      <w:r>
        <w:rPr>
          <w:rFonts w:hint="eastAsia" w:ascii="宋体" w:hAnsi="宋体" w:eastAsia="宋体" w:cs="宋体"/>
          <w:color w:val="000000"/>
        </w:rPr>
        <w:t>10.6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383B5DFA">
      <w:pPr>
        <w:pStyle w:val="6"/>
        <w:spacing w:before="120" w:beforeAutospacing="0" w:after="120" w:afterAutospacing="0"/>
        <w:jc w:val="both"/>
      </w:pPr>
      <w:r>
        <w:rPr>
          <w:rFonts w:hint="eastAsia" w:ascii="宋体" w:hAnsi="宋体" w:eastAsia="宋体" w:cs="宋体"/>
          <w:b/>
          <w:color w:val="000000"/>
        </w:rPr>
        <w:t>十一、违约责任</w:t>
      </w:r>
    </w:p>
    <w:p w14:paraId="50FBBDEC">
      <w:pPr>
        <w:pStyle w:val="6"/>
        <w:spacing w:before="120" w:beforeAutospacing="0" w:after="120" w:afterAutospacing="0"/>
        <w:ind w:left="410" w:hanging="410"/>
        <w:jc w:val="both"/>
      </w:pPr>
      <w:r>
        <w:rPr>
          <w:rFonts w:hint="eastAsia" w:ascii="宋体" w:hAnsi="宋体" w:eastAsia="宋体" w:cs="宋体"/>
          <w:color w:val="000000"/>
        </w:rPr>
        <w:t>11.1 甲方无正当理由拒绝接受</w:t>
      </w:r>
      <w:r>
        <w:rPr>
          <w:rFonts w:hint="eastAsia" w:ascii="宋体" w:hAnsi="宋体" w:eastAsia="宋体" w:cs="宋体"/>
          <w:color w:val="auto"/>
        </w:rPr>
        <w:t>乙方提供的合同标的的，甲</w:t>
      </w:r>
      <w:r>
        <w:rPr>
          <w:rFonts w:hint="eastAsia" w:ascii="宋体" w:hAnsi="宋体" w:eastAsia="宋体" w:cs="宋体"/>
          <w:color w:val="000000"/>
        </w:rPr>
        <w:t>方向乙方偿付拒绝接受合同价款总值</w:t>
      </w:r>
      <w:r>
        <w:rPr>
          <w:rFonts w:hint="eastAsia" w:ascii="宋体" w:hAnsi="宋体" w:eastAsia="宋体" w:cs="宋体"/>
          <w:color w:val="000000"/>
          <w:u w:val="single"/>
        </w:rPr>
        <w:t xml:space="preserve">    </w:t>
      </w:r>
      <w:r>
        <w:rPr>
          <w:rFonts w:hint="eastAsia" w:ascii="宋体" w:hAnsi="宋体" w:eastAsia="宋体" w:cs="宋体"/>
          <w:color w:val="000000"/>
        </w:rPr>
        <w:t>的违约金。</w:t>
      </w:r>
    </w:p>
    <w:p w14:paraId="608EC6C3">
      <w:pPr>
        <w:pStyle w:val="6"/>
        <w:spacing w:before="120" w:beforeAutospacing="0" w:after="120" w:afterAutospacing="0"/>
        <w:ind w:left="410" w:hanging="410"/>
        <w:jc w:val="both"/>
      </w:pPr>
      <w:r>
        <w:rPr>
          <w:rFonts w:hint="eastAsia" w:ascii="宋体" w:hAnsi="宋体" w:eastAsia="宋体" w:cs="宋体"/>
          <w:color w:val="000000"/>
        </w:rPr>
        <w:t>11.2 甲方无故逾期验收和办理合同款项支付手续的,甲方应按逾期付款总额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49AE0CB8">
      <w:pPr>
        <w:pStyle w:val="6"/>
        <w:spacing w:before="120" w:beforeAutospacing="0" w:after="120" w:afterAutospacing="0"/>
        <w:ind w:left="410" w:hanging="410"/>
        <w:jc w:val="both"/>
      </w:pPr>
      <w:r>
        <w:rPr>
          <w:rFonts w:hint="eastAsia" w:ascii="宋体" w:hAnsi="宋体" w:eastAsia="宋体" w:cs="宋体"/>
          <w:color w:val="000000"/>
        </w:rPr>
        <w:t>11.3 乙方逾期交付合同标的的，乙方应按逾期交付合同总额每日千分之六向甲方支付违约金，由甲方从待付合同款项中扣除。逾期超过约定日期10个工作日不能交付合同标的的，甲方可解除本合同。乙方因逾期交付合同标的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0B22DDA8">
      <w:pPr>
        <w:pStyle w:val="6"/>
        <w:spacing w:before="120" w:beforeAutospacing="0" w:after="120" w:afterAutospacing="0"/>
        <w:ind w:left="410" w:hanging="410"/>
        <w:jc w:val="both"/>
      </w:pPr>
      <w:r>
        <w:rPr>
          <w:rFonts w:hint="eastAsia" w:ascii="宋体" w:hAnsi="宋体" w:eastAsia="宋体" w:cs="宋体"/>
          <w:color w:val="000000"/>
        </w:rPr>
        <w:t>11.4 乙方交付合同标的的标准不符合合同规定及谈判文件规定标准的，甲方有权拒绝接受合同标的，并可单方面解除合同。</w:t>
      </w:r>
    </w:p>
    <w:p w14:paraId="31036A63">
      <w:pPr>
        <w:pStyle w:val="6"/>
        <w:spacing w:before="120" w:beforeAutospacing="0" w:after="120" w:afterAutospacing="0"/>
        <w:jc w:val="both"/>
      </w:pPr>
      <w:r>
        <w:rPr>
          <w:rFonts w:hint="eastAsia" w:ascii="宋体" w:hAnsi="宋体" w:eastAsia="宋体" w:cs="宋体"/>
          <w:b/>
          <w:color w:val="000000"/>
        </w:rPr>
        <w:t>十二、不可抗力事件处理</w:t>
      </w:r>
    </w:p>
    <w:p w14:paraId="3A188C65">
      <w:pPr>
        <w:pStyle w:val="6"/>
        <w:spacing w:before="120" w:beforeAutospacing="0" w:after="120" w:afterAutospacing="0"/>
        <w:ind w:left="480" w:hanging="480"/>
        <w:jc w:val="both"/>
      </w:pPr>
      <w:r>
        <w:rPr>
          <w:rFonts w:hint="eastAsia" w:ascii="宋体" w:hAnsi="宋体" w:eastAsia="宋体" w:cs="宋体"/>
          <w:color w:val="000000"/>
        </w:rPr>
        <w:t>12.1 在合同有效期内，任何一方因不可抗力事件导致不能履行合同，则合同履行期可延长，其延长期与不可抗力影响 期相同。</w:t>
      </w:r>
    </w:p>
    <w:p w14:paraId="1DB28E9D">
      <w:pPr>
        <w:pStyle w:val="6"/>
        <w:spacing w:before="120" w:beforeAutospacing="0" w:after="120" w:afterAutospacing="0"/>
        <w:jc w:val="both"/>
      </w:pPr>
      <w:r>
        <w:rPr>
          <w:rFonts w:hint="eastAsia" w:ascii="宋体" w:hAnsi="宋体" w:eastAsia="宋体" w:cs="宋体"/>
          <w:color w:val="000000"/>
        </w:rPr>
        <w:t>12.2 不可抗力事件发生后，应立即通知对方，并寄送有关权威机构出具的证明。</w:t>
      </w:r>
    </w:p>
    <w:p w14:paraId="4D36C32A">
      <w:pPr>
        <w:pStyle w:val="6"/>
        <w:spacing w:before="120" w:beforeAutospacing="0" w:after="120" w:afterAutospacing="0"/>
        <w:jc w:val="both"/>
      </w:pPr>
      <w:r>
        <w:rPr>
          <w:rFonts w:hint="eastAsia" w:ascii="宋体" w:hAnsi="宋体" w:eastAsia="宋体" w:cs="宋体"/>
          <w:color w:val="000000"/>
        </w:rPr>
        <w:t>12.3 不可抗力事件延续120天以上，双方应通过友好协商，确定是否继续履行合同。</w:t>
      </w:r>
    </w:p>
    <w:p w14:paraId="2AC705A7">
      <w:pPr>
        <w:pStyle w:val="6"/>
        <w:spacing w:before="120" w:beforeAutospacing="0" w:after="120" w:afterAutospacing="0"/>
        <w:jc w:val="both"/>
      </w:pPr>
      <w:r>
        <w:rPr>
          <w:rFonts w:hint="eastAsia" w:ascii="宋体" w:hAnsi="宋体" w:eastAsia="宋体" w:cs="宋体"/>
          <w:b/>
          <w:color w:val="000000"/>
        </w:rPr>
        <w:t>十三、解决争议的方法</w:t>
      </w:r>
    </w:p>
    <w:p w14:paraId="0BBB3BF7">
      <w:pPr>
        <w:pStyle w:val="6"/>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4AB54CA7">
      <w:pPr>
        <w:pStyle w:val="6"/>
        <w:spacing w:before="120" w:beforeAutospacing="0" w:after="120" w:afterAutospacing="0"/>
        <w:jc w:val="both"/>
      </w:pPr>
      <w:r>
        <w:rPr>
          <w:rFonts w:hint="eastAsia" w:ascii="宋体" w:hAnsi="宋体" w:eastAsia="宋体" w:cs="宋体"/>
          <w:b/>
          <w:color w:val="000000"/>
        </w:rPr>
        <w:t>十四、合同生效及其它</w:t>
      </w:r>
    </w:p>
    <w:p w14:paraId="22131F77">
      <w:pPr>
        <w:pStyle w:val="6"/>
        <w:spacing w:before="120" w:beforeAutospacing="0" w:after="120" w:afterAutospacing="0"/>
        <w:jc w:val="both"/>
      </w:pPr>
      <w:r>
        <w:rPr>
          <w:rFonts w:hint="eastAsia" w:ascii="宋体" w:hAnsi="宋体" w:eastAsia="宋体" w:cs="宋体"/>
          <w:color w:val="000000"/>
        </w:rPr>
        <w:t>14.1 合同经双方法定代表人或授权委托代表人签字并加盖单位公章后生效。</w:t>
      </w:r>
    </w:p>
    <w:p w14:paraId="54E43A42">
      <w:pPr>
        <w:pStyle w:val="6"/>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6A8DA110">
      <w:pPr>
        <w:pStyle w:val="6"/>
        <w:spacing w:before="120" w:beforeAutospacing="0" w:after="120" w:afterAutospacing="0"/>
        <w:ind w:left="480" w:hanging="480"/>
        <w:jc w:val="both"/>
      </w:pPr>
      <w:r>
        <w:rPr>
          <w:rFonts w:hint="eastAsia" w:ascii="宋体" w:hAnsi="宋体" w:eastAsia="宋体" w:cs="宋体"/>
          <w:color w:val="000000"/>
        </w:rPr>
        <w:t>14.3 本合同正本一式两份，具有同等法律效力，甲方、乙方各执一份。</w:t>
      </w:r>
    </w:p>
    <w:p w14:paraId="7049CFB2">
      <w:pPr>
        <w:pStyle w:val="6"/>
        <w:spacing w:before="120" w:beforeAutospacing="0" w:after="120" w:afterAutospacing="0" w:line="0" w:lineRule="atLeast"/>
        <w:ind w:left="480" w:hanging="480"/>
        <w:jc w:val="both"/>
      </w:pPr>
      <w:r>
        <w:rPr>
          <w:rFonts w:hint="eastAsia" w:ascii="宋体" w:hAnsi="宋体" w:eastAsia="宋体" w:cs="宋体"/>
          <w:color w:val="000000"/>
        </w:rPr>
        <w:t xml:space="preserve">  甲方：                        乙方： </w:t>
      </w:r>
    </w:p>
    <w:p w14:paraId="3A3F7BEE">
      <w:pPr>
        <w:pStyle w:val="6"/>
        <w:spacing w:before="120" w:beforeAutospacing="0" w:after="120" w:afterAutospacing="0" w:line="0" w:lineRule="atLeast"/>
        <w:jc w:val="both"/>
      </w:pPr>
      <w:r>
        <w:rPr>
          <w:rFonts w:hint="eastAsia" w:ascii="宋体" w:hAnsi="宋体" w:eastAsia="宋体" w:cs="宋体"/>
          <w:color w:val="000000"/>
        </w:rPr>
        <w:t xml:space="preserve">  地址：                        地址： </w:t>
      </w:r>
    </w:p>
    <w:p w14:paraId="1FC175C3">
      <w:pPr>
        <w:pStyle w:val="6"/>
        <w:spacing w:before="120" w:beforeAutospacing="0" w:after="120" w:afterAutospacing="0" w:line="0" w:lineRule="atLeast"/>
        <w:jc w:val="both"/>
      </w:pPr>
      <w:r>
        <w:rPr>
          <w:rFonts w:hint="eastAsia" w:ascii="宋体" w:hAnsi="宋体" w:eastAsia="宋体" w:cs="宋体"/>
          <w:color w:val="000000"/>
        </w:rPr>
        <w:t>  法定代表人或授权代表：        法定代表人或授权代表：</w:t>
      </w:r>
    </w:p>
    <w:p w14:paraId="1819848D">
      <w:pPr>
        <w:pStyle w:val="6"/>
        <w:spacing w:before="120" w:beforeAutospacing="0" w:after="120" w:afterAutospacing="0" w:line="0" w:lineRule="atLeast"/>
        <w:ind w:firstLine="240"/>
        <w:jc w:val="both"/>
      </w:pPr>
      <w:r>
        <w:rPr>
          <w:rFonts w:hint="eastAsia" w:ascii="宋体" w:hAnsi="宋体" w:eastAsia="宋体" w:cs="宋体"/>
          <w:color w:val="000000"/>
        </w:rPr>
        <w:t xml:space="preserve">联系电话：                    联系电话：          </w:t>
      </w:r>
    </w:p>
    <w:p w14:paraId="6CAC89A7">
      <w:pPr>
        <w:pStyle w:val="6"/>
        <w:spacing w:beforeAutospacing="0" w:afterAutospacing="0" w:line="0" w:lineRule="atLeast"/>
        <w:ind w:firstLine="420"/>
        <w:jc w:val="both"/>
      </w:pPr>
      <w:r>
        <w:rPr>
          <w:rFonts w:ascii="Times New Roman" w:hAnsi="Times New Roman"/>
          <w:color w:val="000000"/>
          <w:sz w:val="21"/>
          <w:szCs w:val="21"/>
        </w:rPr>
        <w:t>                                          签订日期：      年    月   日</w:t>
      </w:r>
    </w:p>
    <w:p w14:paraId="2281FFB8">
      <w:pPr>
        <w:pStyle w:val="6"/>
        <w:spacing w:before="120" w:beforeAutospacing="0" w:after="120" w:afterAutospacing="0" w:line="0" w:lineRule="atLeast"/>
        <w:jc w:val="center"/>
      </w:pPr>
      <w:bookmarkStart w:id="154" w:name="_Toc479757211"/>
      <w:bookmarkStart w:id="155" w:name="_Toc20823346"/>
      <w:bookmarkStart w:id="156" w:name="_Toc16938590"/>
      <w:bookmarkStart w:id="157" w:name="_Toc462564139"/>
      <w:bookmarkStart w:id="158" w:name="_Toc120614244"/>
      <w:bookmarkStart w:id="159" w:name="_Hlt16619350"/>
      <w:bookmarkStart w:id="160" w:name="_Hlt16619369"/>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54"/>
      <w:r>
        <w:rPr>
          <w:rFonts w:hint="eastAsia" w:ascii="黑体" w:hAnsi="宋体" w:eastAsia="黑体" w:cs="黑体"/>
          <w:color w:val="000000"/>
          <w:sz w:val="44"/>
          <w:szCs w:val="44"/>
        </w:rPr>
        <w:t>四章 采购需求</w:t>
      </w:r>
      <w:bookmarkEnd w:id="155"/>
      <w:bookmarkEnd w:id="156"/>
      <w:bookmarkEnd w:id="157"/>
      <w:bookmarkEnd w:id="158"/>
      <w:bookmarkStart w:id="161" w:name="_Toc26554093"/>
      <w:bookmarkEnd w:id="161"/>
      <w:bookmarkStart w:id="162" w:name="_Toc49090575"/>
      <w:bookmarkEnd w:id="162"/>
    </w:p>
    <w:p w14:paraId="7934EEB1">
      <w:pPr>
        <w:pStyle w:val="6"/>
        <w:spacing w:before="120" w:beforeAutospacing="0" w:after="120" w:afterAutospacing="0" w:line="0" w:lineRule="atLeast"/>
        <w:jc w:val="both"/>
      </w:pPr>
      <w:r>
        <w:rPr>
          <w:rFonts w:hint="eastAsia" w:ascii="宋体" w:hAnsi="宋体" w:eastAsia="宋体" w:cs="宋体"/>
          <w:color w:val="000000"/>
        </w:rPr>
        <w:t>项目属性：货物类项目/服务类项目</w:t>
      </w:r>
      <w:r>
        <w:rPr>
          <w:rFonts w:hint="eastAsia" w:ascii="宋体" w:hAnsi="宋体" w:eastAsia="宋体" w:cs="宋体"/>
          <w:color w:val="000000"/>
          <w:shd w:val="clear" w:color="auto" w:fill="FFFF00"/>
        </w:rPr>
        <w:t>（备注：项目经办人与采购人商定后确定项目属性。确定后删除备注。）</w:t>
      </w:r>
    </w:p>
    <w:p w14:paraId="72727709">
      <w:pPr>
        <w:pStyle w:val="6"/>
        <w:spacing w:beforeAutospacing="0" w:afterAutospacing="0" w:line="0" w:lineRule="atLeast"/>
        <w:jc w:val="both"/>
      </w:pPr>
      <w:r>
        <w:t> </w:t>
      </w:r>
    </w:p>
    <w:p w14:paraId="3EF0E2DE">
      <w:pPr>
        <w:pStyle w:val="6"/>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09962C73">
      <w:pPr>
        <w:pStyle w:val="6"/>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12AFCF58">
      <w:pPr>
        <w:pStyle w:val="6"/>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7C2DF5F7">
      <w:pPr>
        <w:pStyle w:val="6"/>
        <w:spacing w:beforeAutospacing="0" w:afterAutospacing="0" w:line="0" w:lineRule="atLeast"/>
        <w:jc w:val="both"/>
      </w:pPr>
      <w:r>
        <w:rPr>
          <w:rFonts w:ascii="Times New Roman" w:hAnsi="Times New Roman"/>
          <w:i/>
          <w:color w:val="000000"/>
          <w:u w:val="single"/>
        </w:rPr>
        <w:t>（三）、采购需求中必须满足的实质性要求。（请单独列出）</w:t>
      </w:r>
    </w:p>
    <w:p w14:paraId="1903FBAE">
      <w:pPr>
        <w:pStyle w:val="6"/>
        <w:spacing w:beforeAutospacing="0" w:afterAutospacing="0" w:line="0" w:lineRule="atLeast"/>
        <w:jc w:val="both"/>
      </w:pPr>
      <w:r>
        <w:rPr>
          <w:rFonts w:ascii="Times New Roman" w:hAnsi="Times New Roman"/>
          <w:i/>
          <w:color w:val="000000"/>
          <w:u w:val="single"/>
        </w:rPr>
        <w:t>（四）、本项目      进口产品参加谈判（接受/不接受）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备注：如有多分包，明确每个分包是否接受进口产品谈判。确定后该备注删除）</w:t>
      </w:r>
    </w:p>
    <w:p w14:paraId="2FDF2251">
      <w:pPr>
        <w:pStyle w:val="6"/>
        <w:spacing w:beforeAutospacing="0" w:afterAutospacing="0" w:line="0" w:lineRule="atLeast"/>
        <w:jc w:val="both"/>
      </w:pPr>
      <w:r>
        <w:rPr>
          <w:rFonts w:ascii="Times New Roman" w:hAnsi="Times New Roman"/>
          <w:color w:val="FF0000"/>
          <w:shd w:val="clear" w:color="auto" w:fill="FFFF00"/>
        </w:rPr>
        <w:t>（五）、样品（如无此项要求请项目经办人自行删除）</w:t>
      </w:r>
    </w:p>
    <w:p w14:paraId="009E3360">
      <w:pPr>
        <w:pStyle w:val="6"/>
        <w:spacing w:beforeAutospacing="0" w:afterAutospacing="0" w:line="0" w:lineRule="atLeast"/>
        <w:ind w:firstLine="480"/>
        <w:jc w:val="both"/>
      </w:pPr>
      <w:r>
        <w:rPr>
          <w:rFonts w:hint="eastAsia" w:ascii="宋体" w:hAnsi="宋体" w:eastAsia="宋体" w:cs="宋体"/>
          <w:color w:val="FF0000"/>
        </w:rPr>
        <w:t>（1）项目要求提供样品的，成交供应商的样品由采购人负责保管、封存，并作为履约验收的参考。未成交供应商的样品将及时退还。</w:t>
      </w:r>
    </w:p>
    <w:p w14:paraId="24C8D377">
      <w:pPr>
        <w:pStyle w:val="6"/>
        <w:spacing w:beforeAutospacing="0" w:afterAutospacing="0" w:line="0" w:lineRule="atLeast"/>
        <w:ind w:firstLine="480"/>
        <w:jc w:val="both"/>
      </w:pPr>
      <w:r>
        <w:rPr>
          <w:rFonts w:hint="eastAsia" w:ascii="宋体" w:hAnsi="宋体" w:eastAsia="宋体" w:cs="宋体"/>
          <w:color w:val="FF0000"/>
        </w:rPr>
        <w:t>（2）请供应商提供的样品如下，包括：</w:t>
      </w:r>
    </w:p>
    <w:p w14:paraId="27F86D10">
      <w:pPr>
        <w:pStyle w:val="6"/>
        <w:spacing w:beforeAutospacing="0" w:afterAutospacing="0" w:line="0" w:lineRule="atLeast"/>
        <w:ind w:firstLine="480"/>
        <w:jc w:val="both"/>
      </w:pPr>
      <w:r>
        <w:rPr>
          <w:rFonts w:hint="eastAsia" w:ascii="宋体" w:hAnsi="宋体" w:eastAsia="宋体" w:cs="宋体"/>
          <w:color w:val="FF0000"/>
        </w:rPr>
        <w:t>①……</w:t>
      </w:r>
    </w:p>
    <w:p w14:paraId="0834F5BF">
      <w:pPr>
        <w:pStyle w:val="6"/>
        <w:spacing w:beforeAutospacing="0" w:afterAutospacing="0" w:line="0" w:lineRule="atLeast"/>
        <w:ind w:firstLine="480"/>
        <w:jc w:val="both"/>
      </w:pPr>
      <w:r>
        <w:rPr>
          <w:rFonts w:hint="eastAsia" w:ascii="宋体" w:hAnsi="宋体" w:eastAsia="宋体" w:cs="宋体"/>
          <w:color w:val="FF0000"/>
        </w:rPr>
        <w:t>②……</w:t>
      </w:r>
    </w:p>
    <w:p w14:paraId="5E0A1FF3">
      <w:pPr>
        <w:pStyle w:val="6"/>
        <w:spacing w:beforeAutospacing="0" w:afterAutospacing="0" w:line="0" w:lineRule="atLeast"/>
        <w:ind w:firstLine="480"/>
        <w:jc w:val="both"/>
      </w:pPr>
      <w:r>
        <w:rPr>
          <w:rFonts w:hint="eastAsia" w:ascii="宋体" w:hAnsi="宋体" w:eastAsia="宋体" w:cs="宋体"/>
          <w:color w:val="FF0000"/>
        </w:rPr>
        <w:t>（3）样品提交及安装完成时间：*年*月*日***起至***止，采购人负责接收样品。样品递交地点：****。</w:t>
      </w:r>
    </w:p>
    <w:p w14:paraId="2E3616C4">
      <w:pPr>
        <w:pStyle w:val="6"/>
        <w:spacing w:beforeAutospacing="0" w:afterAutospacing="0" w:line="0" w:lineRule="atLeast"/>
        <w:jc w:val="both"/>
      </w:pPr>
      <w:r>
        <w:rPr>
          <w:rFonts w:ascii="Times New Roman" w:hAnsi="Times New Roman"/>
          <w:color w:val="FF0000"/>
          <w:shd w:val="clear" w:color="auto" w:fill="FFFF00"/>
        </w:rPr>
        <w:t>（六）、演示要求（如无演示要求请项目经办人自行删除）（如有演示的要求，请项目经办人选择一种演示方式，并将不需要的另一种演示方式删除）</w:t>
      </w:r>
    </w:p>
    <w:p w14:paraId="39672BA9">
      <w:pPr>
        <w:pStyle w:val="6"/>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2DCC7A80">
      <w:pPr>
        <w:pStyle w:val="6"/>
        <w:spacing w:beforeAutospacing="0" w:afterAutospacing="0" w:line="0" w:lineRule="atLeast"/>
        <w:ind w:firstLine="480"/>
        <w:jc w:val="both"/>
      </w:pPr>
      <w:r>
        <w:rPr>
          <w:rFonts w:hint="eastAsia" w:ascii="宋体" w:hAnsi="宋体" w:eastAsia="宋体" w:cs="宋体"/>
          <w:color w:val="FF0000"/>
        </w:rPr>
        <w:t>（1）供应商演示人员和设备需在评审前到达盐城市公共资源交易中心四楼等候区。按照苏采云系统安排的顺序进行现场演示，演示需按照谈判文件的规定和谈判小组的要求进行，时间不超过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采购中心提供投影机及幕布，其他所需设备由供应商自备。</w:t>
      </w:r>
    </w:p>
    <w:p w14:paraId="564FAC64">
      <w:pPr>
        <w:pStyle w:val="6"/>
        <w:spacing w:beforeAutospacing="0" w:afterAutospacing="0" w:line="0" w:lineRule="atLeast"/>
        <w:ind w:firstLine="480"/>
        <w:jc w:val="both"/>
      </w:pPr>
      <w:r>
        <w:rPr>
          <w:rFonts w:hint="eastAsia" w:ascii="宋体" w:hAnsi="宋体" w:eastAsia="宋体" w:cs="宋体"/>
          <w:color w:val="FF0000"/>
        </w:rPr>
        <w:t>演示内容如下：</w:t>
      </w:r>
    </w:p>
    <w:p w14:paraId="5B6409A9">
      <w:pPr>
        <w:pStyle w:val="6"/>
        <w:spacing w:beforeAutospacing="0" w:afterAutospacing="0" w:line="0" w:lineRule="atLeast"/>
        <w:ind w:firstLine="480"/>
        <w:jc w:val="both"/>
      </w:pPr>
      <w:r>
        <w:rPr>
          <w:rFonts w:hint="eastAsia" w:ascii="宋体" w:hAnsi="宋体" w:eastAsia="宋体" w:cs="宋体"/>
          <w:color w:val="FF0000"/>
        </w:rPr>
        <w:t>①……</w:t>
      </w:r>
    </w:p>
    <w:p w14:paraId="7506D7BD">
      <w:pPr>
        <w:pStyle w:val="6"/>
        <w:spacing w:beforeAutospacing="0" w:afterAutospacing="0" w:line="0" w:lineRule="atLeast"/>
        <w:ind w:firstLine="480"/>
        <w:jc w:val="both"/>
      </w:pPr>
      <w:r>
        <w:rPr>
          <w:rFonts w:hint="eastAsia" w:ascii="宋体" w:hAnsi="宋体" w:eastAsia="宋体" w:cs="宋体"/>
          <w:color w:val="FF0000"/>
        </w:rPr>
        <w:t>②……</w:t>
      </w:r>
    </w:p>
    <w:p w14:paraId="7EB82715">
      <w:pPr>
        <w:pStyle w:val="6"/>
        <w:spacing w:beforeAutospacing="0" w:afterAutospacing="0" w:line="0" w:lineRule="atLeast"/>
        <w:ind w:firstLine="480"/>
        <w:jc w:val="both"/>
      </w:pPr>
      <w:r>
        <w:rPr>
          <w:rFonts w:hint="eastAsia" w:ascii="宋体" w:hAnsi="宋体" w:eastAsia="宋体" w:cs="宋体"/>
          <w:color w:val="FF0000"/>
        </w:rPr>
        <w:t>③……</w:t>
      </w:r>
    </w:p>
    <w:p w14:paraId="638EBCEB">
      <w:pPr>
        <w:pStyle w:val="6"/>
        <w:spacing w:beforeAutospacing="0" w:afterAutospacing="0" w:line="0" w:lineRule="atLeast"/>
        <w:ind w:firstLine="480"/>
        <w:jc w:val="both"/>
      </w:pPr>
      <w:r>
        <w:rPr>
          <w:rFonts w:hint="eastAsia" w:ascii="宋体" w:hAnsi="宋体" w:eastAsia="宋体" w:cs="宋体"/>
          <w:color w:val="FF0000"/>
        </w:rPr>
        <w:t>（2）供应商需在“法人授权书”中注明进行现场演示的人员姓名及身份证号，不接受非注明的人员进入评审现场进行演示。供应商进入评审现场的人员应出示有效身份证件。</w:t>
      </w:r>
    </w:p>
    <w:p w14:paraId="79FD12B2">
      <w:pPr>
        <w:pStyle w:val="6"/>
        <w:spacing w:beforeAutospacing="0" w:afterAutospacing="0"/>
        <w:ind w:firstLine="480"/>
        <w:jc w:val="both"/>
      </w:pPr>
      <w:r>
        <w:rPr>
          <w:rFonts w:ascii="Times New Roman" w:hAnsi="Times New Roman"/>
          <w:color w:val="FF0000"/>
          <w:shd w:val="clear" w:color="auto" w:fill="FFFF00"/>
        </w:rPr>
        <w:t>第二种演示方式 上传视频演示</w:t>
      </w:r>
    </w:p>
    <w:p w14:paraId="7CD07022">
      <w:pPr>
        <w:pStyle w:val="6"/>
        <w:spacing w:beforeAutospacing="0" w:afterAutospacing="0" w:line="0" w:lineRule="atLeast"/>
        <w:ind w:firstLine="480"/>
        <w:jc w:val="both"/>
      </w:pPr>
      <w:r>
        <w:rPr>
          <w:rFonts w:hint="eastAsia" w:ascii="宋体" w:hAnsi="宋体" w:eastAsia="宋体" w:cs="宋体"/>
          <w:color w:val="FF0000"/>
        </w:rPr>
        <w:t>（1）供应商需按照谈判文件规定的演示内容制作演示视频文件，视频文件的格式为*.mp4或*.avi，供应商须将视频文件分段压缩为*.zip文件上传（单个文件不得大于50M，所有文件总共不得大于300M）。文件上传方式见《操作手册》规定，上传的演示视频将作为响应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4C220EF3">
      <w:pPr>
        <w:pStyle w:val="6"/>
        <w:spacing w:beforeAutospacing="0" w:afterAutospacing="0" w:line="0" w:lineRule="atLeast"/>
        <w:ind w:firstLine="480"/>
        <w:jc w:val="both"/>
      </w:pPr>
      <w:r>
        <w:rPr>
          <w:rFonts w:hint="eastAsia" w:ascii="宋体" w:hAnsi="宋体" w:eastAsia="宋体" w:cs="宋体"/>
          <w:color w:val="FF0000"/>
        </w:rPr>
        <w:t>（2）演示内容如下：</w:t>
      </w:r>
    </w:p>
    <w:p w14:paraId="00804EE1">
      <w:pPr>
        <w:pStyle w:val="6"/>
        <w:spacing w:beforeAutospacing="0" w:afterAutospacing="0" w:line="0" w:lineRule="atLeast"/>
        <w:ind w:firstLine="480"/>
        <w:jc w:val="both"/>
      </w:pPr>
      <w:r>
        <w:rPr>
          <w:rFonts w:hint="eastAsia" w:ascii="宋体" w:hAnsi="宋体" w:eastAsia="宋体" w:cs="宋体"/>
          <w:color w:val="FF0000"/>
        </w:rPr>
        <w:t>①……</w:t>
      </w:r>
    </w:p>
    <w:p w14:paraId="6A926D8E">
      <w:pPr>
        <w:pStyle w:val="6"/>
        <w:spacing w:beforeAutospacing="0" w:afterAutospacing="0" w:line="0" w:lineRule="atLeast"/>
        <w:ind w:firstLine="480"/>
        <w:jc w:val="both"/>
      </w:pPr>
      <w:r>
        <w:rPr>
          <w:rFonts w:hint="eastAsia" w:ascii="宋体" w:hAnsi="宋体" w:eastAsia="宋体" w:cs="宋体"/>
          <w:color w:val="FF0000"/>
        </w:rPr>
        <w:t>②……</w:t>
      </w:r>
    </w:p>
    <w:p w14:paraId="63A64338">
      <w:pPr>
        <w:pStyle w:val="6"/>
        <w:spacing w:beforeAutospacing="0" w:afterAutospacing="0" w:line="0" w:lineRule="atLeast"/>
        <w:ind w:firstLine="480"/>
        <w:jc w:val="both"/>
        <w:rPr>
          <w:rFonts w:ascii="宋体" w:hAnsi="宋体" w:eastAsia="宋体" w:cs="宋体"/>
          <w:color w:val="FF0000"/>
        </w:rPr>
      </w:pPr>
      <w:r>
        <w:rPr>
          <w:rFonts w:hint="eastAsia" w:ascii="宋体" w:hAnsi="宋体" w:eastAsia="宋体" w:cs="宋体"/>
          <w:color w:val="FF0000"/>
        </w:rPr>
        <w:t>③……</w:t>
      </w:r>
    </w:p>
    <w:p w14:paraId="49BA32B5">
      <w:pPr>
        <w:pStyle w:val="6"/>
        <w:spacing w:before="120" w:beforeAutospacing="0" w:after="120" w:afterAutospacing="0" w:line="360" w:lineRule="auto"/>
        <w:ind w:firstLine="441"/>
        <w:rPr>
          <w:highlight w:val="none"/>
        </w:rPr>
      </w:pPr>
      <w:r>
        <w:rPr>
          <w:rFonts w:hint="eastAsia" w:ascii="宋体" w:hAnsi="宋体" w:eastAsia="宋体" w:cs="宋体"/>
          <w:b/>
          <w:color w:val="000000"/>
          <w:highlight w:val="none"/>
        </w:rPr>
        <w:t>（七）政府采购政策功能落实</w:t>
      </w:r>
    </w:p>
    <w:p w14:paraId="7EBAC137">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1、小微型企业价格扣除</w:t>
      </w:r>
    </w:p>
    <w:p w14:paraId="51124EDA">
      <w:pPr>
        <w:pStyle w:val="11"/>
        <w:ind w:firstLine="360" w:firstLineChars="150"/>
        <w:rPr>
          <w:rFonts w:ascii="Times New Roman" w:hAnsi="Times New Roman" w:cs="Times New Roman" w:eastAsiaTheme="minorEastAsia"/>
          <w:color w:val="auto"/>
          <w:kern w:val="0"/>
          <w:sz w:val="24"/>
          <w:szCs w:val="24"/>
          <w:highlight w:val="none"/>
          <w:lang w:val="en-US" w:eastAsia="zh-CN" w:bidi="ar-SA"/>
        </w:rPr>
      </w:pPr>
      <w:r>
        <w:rPr>
          <w:rFonts w:hint="eastAsia" w:ascii="Times New Roman" w:hAnsi="Times New Roman" w:cs="Times New Roman" w:eastAsiaTheme="minorEastAsia"/>
          <w:color w:val="auto"/>
          <w:kern w:val="0"/>
          <w:sz w:val="24"/>
          <w:szCs w:val="24"/>
          <w:highlight w:val="none"/>
          <w:lang w:val="en-US" w:eastAsia="zh-CN" w:bidi="ar-SA"/>
        </w:rPr>
        <w:t>①本项目若不专门面向中小企业采购，对符合规定的小型和微型企业报价给予20%的扣除价格，用扣除后的价格参与评审；若专门面向中小企业采购，不再对小型和微型企业报价给予价格扣除。</w:t>
      </w:r>
    </w:p>
    <w:p w14:paraId="7E0AC306">
      <w:pPr>
        <w:pStyle w:val="6"/>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16E60111">
      <w:pPr>
        <w:pStyle w:val="6"/>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07DFBE1C">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04E4B654">
      <w:pPr>
        <w:pStyle w:val="11"/>
        <w:ind w:firstLine="360" w:firstLineChars="150"/>
        <w:rPr>
          <w:rFonts w:ascii="宋体" w:hAnsi="宋体" w:eastAsia="宋体"/>
        </w:rPr>
      </w:pPr>
      <w:r>
        <w:rPr>
          <w:rFonts w:hint="eastAsia" w:ascii="宋体" w:hAnsi="宋体" w:eastAsia="宋体"/>
        </w:rPr>
        <w:t>（1）</w:t>
      </w:r>
      <w:r>
        <w:rPr>
          <w:rFonts w:hint="eastAsia" w:ascii="Times New Roman" w:hAnsi="Times New Roman" w:cs="Times New Roman" w:eastAsiaTheme="minorEastAsia"/>
          <w:color w:val="auto"/>
          <w:kern w:val="0"/>
          <w:sz w:val="24"/>
          <w:szCs w:val="24"/>
          <w:highlight w:val="none"/>
          <w:lang w:val="en-US" w:eastAsia="zh-CN" w:bidi="ar-SA"/>
        </w:rPr>
        <w:t>①本项目若不专门面向中小企业采购，对符合规定的小型和微型企业报价给予20%的扣除价格，用扣除后的价格参与评审；若专门面向中小企业采购，不再对小型和微型企业报价给予价格扣除。</w:t>
      </w:r>
    </w:p>
    <w:p w14:paraId="461A3835">
      <w:pPr>
        <w:pStyle w:val="6"/>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（2）残疾人福利单位需按照采购文件的要求提供《残疾人福利性单位声明函》。</w:t>
      </w:r>
    </w:p>
    <w:p w14:paraId="103AA734">
      <w:pPr>
        <w:pStyle w:val="6"/>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（3）残疾人福利单位标准请参照《关于促进残疾人就业政府采购政策的通知》（财库〔2017〕141号）。</w:t>
      </w:r>
    </w:p>
    <w:p w14:paraId="1A4B6758">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3、监狱和戒毒企业价格扣除</w:t>
      </w:r>
    </w:p>
    <w:p w14:paraId="60453D32">
      <w:pPr>
        <w:pStyle w:val="6"/>
        <w:spacing w:before="120" w:beforeAutospacing="0" w:after="120" w:afterAutospacing="0" w:line="0" w:lineRule="atLeast"/>
        <w:ind w:left="120" w:firstLine="360"/>
        <w:rPr>
          <w:rFonts w:hint="eastAsia" w:ascii="宋体" w:hAnsi="宋体" w:eastAsia="宋体" w:cs="宋体"/>
          <w:color w:val="000000"/>
          <w:highlight w:val="red"/>
          <w:u w:val="single"/>
          <w:lang w:eastAsia="zh-CN"/>
        </w:rPr>
      </w:pPr>
      <w:r>
        <w:rPr>
          <w:rFonts w:hint="eastAsia" w:ascii="宋体" w:hAnsi="宋体" w:eastAsia="宋体" w:cs="宋体"/>
          <w:color w:val="000000"/>
          <w:highlight w:val="none"/>
        </w:rPr>
        <w:t>（1）本项目对监狱和戒毒企业（简称监狱企业）视同小型、微型企业，给予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red"/>
        </w:rPr>
        <w:t>的价格扣除</w:t>
      </w:r>
      <w:r>
        <w:rPr>
          <w:rFonts w:hint="eastAsia" w:ascii="宋体" w:hAnsi="宋体" w:eastAsia="宋体" w:cs="宋体"/>
          <w:color w:val="000000"/>
          <w:highlight w:val="red"/>
          <w:lang w:eastAsia="zh-CN"/>
        </w:rPr>
        <w:t>。</w:t>
      </w:r>
    </w:p>
    <w:p w14:paraId="0F58E13C">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（2）监狱企业参加政府采购活动时，需提供由省级以上监狱管理局、戒毒管理局(含新疆生产建设兵团)出具的属于监狱企业的证明文件。供应商如不提供上述证明文件，价格将不做相应扣除。</w:t>
      </w:r>
    </w:p>
    <w:p w14:paraId="09C2DDF3">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（3）监狱企业标准请参照《关于政府采购支持监狱企业发展有关问题的通知》（财库[2014]68号）。</w:t>
      </w:r>
    </w:p>
    <w:p w14:paraId="4224E8BA">
      <w:pPr>
        <w:pStyle w:val="6"/>
        <w:spacing w:before="120" w:beforeAutospacing="0" w:after="120" w:afterAutospacing="0" w:line="0" w:lineRule="atLeast"/>
        <w:ind w:firstLine="480"/>
        <w:rPr>
          <w:highlight w:val="none"/>
        </w:rPr>
      </w:pPr>
      <w:r>
        <w:rPr>
          <w:rFonts w:hint="eastAsia" w:ascii="宋体" w:hAnsi="宋体" w:eastAsia="宋体" w:cs="宋体"/>
          <w:color w:val="000000"/>
          <w:highlight w:val="none"/>
        </w:rPr>
        <w:t>4、残疾人福利单位、监狱企业属于小型、微型企业的，不重复享受政策。</w:t>
      </w:r>
    </w:p>
    <w:p w14:paraId="1A7E2AC7">
      <w:pPr>
        <w:pStyle w:val="6"/>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highlight w:val="none"/>
        </w:rPr>
        <w:t>5、如本项目同意联合体投标或同意分包履行合同的,大中型企业与小微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6BF78154">
      <w:pPr>
        <w:pStyle w:val="6"/>
        <w:spacing w:before="120" w:beforeAutospacing="0" w:after="120" w:afterAutospacing="0" w:line="0" w:lineRule="atLeast"/>
        <w:ind w:left="120" w:firstLine="360"/>
        <w:rPr>
          <w:rFonts w:ascii="宋体" w:hAnsi="宋体" w:eastAsia="宋体" w:cs="宋体"/>
          <w:color w:val="000000"/>
          <w:highlight w:val="none"/>
          <w:u w:val="single"/>
        </w:rPr>
      </w:pPr>
      <w:r>
        <w:rPr>
          <w:rFonts w:hint="eastAsia" w:ascii="宋体" w:hAnsi="宋体" w:eastAsia="宋体" w:cs="宋体"/>
          <w:color w:val="000000"/>
          <w:highlight w:val="none"/>
        </w:rPr>
        <w:t>6、联合体各方均为小型、微型企业（残疾人福利单位、监狱企业）的，联合体享受</w:t>
      </w:r>
      <w:r>
        <w:rPr>
          <w:rFonts w:hint="eastAsia" w:ascii="宋体" w:hAnsi="宋体" w:eastAsia="宋体" w:cs="宋体"/>
          <w:color w:val="000000"/>
          <w:highlight w:val="none"/>
          <w:u w:val="single"/>
        </w:rPr>
        <w:t>20%</w:t>
      </w:r>
      <w:r>
        <w:rPr>
          <w:rFonts w:hint="eastAsia" w:ascii="宋体" w:hAnsi="宋体" w:eastAsia="宋体" w:cs="宋体"/>
          <w:color w:val="000000"/>
          <w:highlight w:val="red"/>
        </w:rPr>
        <w:t>的价格扣除</w:t>
      </w:r>
      <w:r>
        <w:rPr>
          <w:rFonts w:hint="eastAsia" w:ascii="宋体" w:hAnsi="宋体" w:eastAsia="宋体" w:cs="宋体"/>
          <w:color w:val="000000"/>
          <w:highlight w:val="red"/>
          <w:lang w:eastAsia="zh-CN"/>
        </w:rPr>
        <w:t>。</w:t>
      </w:r>
    </w:p>
    <w:p w14:paraId="3164DA44">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6349F38F">
      <w:pPr>
        <w:pStyle w:val="6"/>
        <w:spacing w:beforeAutospacing="0" w:afterAutospacing="0" w:line="0" w:lineRule="atLeast"/>
        <w:ind w:firstLine="480"/>
        <w:jc w:val="both"/>
        <w:rPr>
          <w:highlight w:val="none"/>
        </w:rPr>
      </w:pPr>
    </w:p>
    <w:p w14:paraId="6553802C">
      <w:pPr>
        <w:pStyle w:val="6"/>
        <w:spacing w:beforeAutospacing="0" w:afterAutospacing="0" w:line="0" w:lineRule="atLeast"/>
        <w:jc w:val="both"/>
        <w:rPr>
          <w:color w:val="auto"/>
        </w:rPr>
      </w:pPr>
      <w:r>
        <w:rPr>
          <w:rFonts w:hint="eastAsia" w:ascii="宋体" w:hAnsi="宋体" w:eastAsia="宋体" w:cs="宋体"/>
          <w:color w:val="auto"/>
        </w:rPr>
        <w:t>（八）、采购标的对应的中小企业划分标准所属行业一览表</w:t>
      </w:r>
    </w:p>
    <w:tbl>
      <w:tblPr>
        <w:tblStyle w:val="7"/>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00298525">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A5AD">
            <w:pPr>
              <w:pStyle w:val="6"/>
              <w:spacing w:beforeAutospacing="0" w:afterAutospacing="0" w:line="0" w:lineRule="atLeast"/>
              <w:jc w:val="center"/>
              <w:rPr>
                <w:color w:val="auto"/>
              </w:rPr>
            </w:pPr>
            <w:r>
              <w:rPr>
                <w:rFonts w:hint="eastAsia" w:ascii="宋体" w:hAnsi="宋体" w:eastAsia="宋体" w:cs="宋体"/>
                <w:color w:val="auto"/>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287F">
            <w:pPr>
              <w:pStyle w:val="6"/>
              <w:spacing w:beforeAutospacing="0" w:afterAutospacing="0" w:line="0" w:lineRule="atLeast"/>
              <w:jc w:val="center"/>
              <w:rPr>
                <w:color w:val="auto"/>
              </w:rPr>
            </w:pPr>
            <w:r>
              <w:rPr>
                <w:rFonts w:hint="eastAsia" w:ascii="宋体" w:hAnsi="宋体" w:eastAsia="宋体" w:cs="宋体"/>
                <w:color w:val="auto"/>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63DD">
            <w:pPr>
              <w:pStyle w:val="6"/>
              <w:spacing w:beforeAutospacing="0" w:afterAutospacing="0" w:line="0" w:lineRule="atLeast"/>
              <w:jc w:val="center"/>
              <w:rPr>
                <w:color w:val="auto"/>
              </w:rPr>
            </w:pPr>
            <w:r>
              <w:rPr>
                <w:rFonts w:hint="eastAsia" w:ascii="宋体" w:hAnsi="宋体" w:eastAsia="宋体" w:cs="宋体"/>
                <w:color w:val="auto"/>
              </w:rPr>
              <w:t>对应中小企业划分标准所属行业</w:t>
            </w:r>
          </w:p>
        </w:tc>
      </w:tr>
      <w:tr w14:paraId="5F2DB06B">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8F94D">
            <w:pPr>
              <w:pStyle w:val="6"/>
              <w:spacing w:beforeAutospacing="0" w:afterAutospacing="0" w:line="0" w:lineRule="atLeast"/>
              <w:jc w:val="center"/>
              <w:rPr>
                <w:color w:val="auto"/>
              </w:rPr>
            </w:pPr>
            <w:r>
              <w:rPr>
                <w:rFonts w:hint="eastAsia" w:ascii="宋体" w:hAnsi="宋体" w:eastAsia="宋体" w:cs="宋体"/>
                <w:color w:val="auto"/>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B2F04">
            <w:pPr>
              <w:pStyle w:val="6"/>
              <w:spacing w:beforeAutospacing="0" w:afterAutospacing="0" w:line="0" w:lineRule="atLeast"/>
              <w:jc w:val="center"/>
              <w:rPr>
                <w:color w:val="auto"/>
              </w:rPr>
            </w:pPr>
            <w:r>
              <w:rPr>
                <w:color w:val="auto"/>
              </w:rP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0C22B">
            <w:pPr>
              <w:pStyle w:val="6"/>
              <w:spacing w:beforeAutospacing="0" w:afterAutospacing="0" w:line="0" w:lineRule="atLeast"/>
              <w:jc w:val="center"/>
              <w:rPr>
                <w:color w:val="auto"/>
              </w:rPr>
            </w:pPr>
            <w:r>
              <w:rPr>
                <w:color w:val="auto"/>
              </w:rPr>
              <w:t> </w:t>
            </w:r>
          </w:p>
        </w:tc>
      </w:tr>
      <w:tr w14:paraId="46CBA5A6">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87C55">
            <w:pPr>
              <w:pStyle w:val="6"/>
              <w:spacing w:beforeAutospacing="0" w:afterAutospacing="0" w:line="0" w:lineRule="atLeast"/>
              <w:jc w:val="center"/>
              <w:rPr>
                <w:color w:val="auto"/>
              </w:rPr>
            </w:pPr>
            <w:r>
              <w:rPr>
                <w:rFonts w:hint="eastAsia" w:ascii="宋体" w:hAnsi="宋体" w:eastAsia="宋体" w:cs="宋体"/>
                <w:color w:val="auto"/>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69EA">
            <w:pPr>
              <w:pStyle w:val="6"/>
              <w:spacing w:beforeAutospacing="0" w:afterAutospacing="0" w:line="0" w:lineRule="atLeast"/>
              <w:jc w:val="center"/>
              <w:rPr>
                <w:color w:val="auto"/>
              </w:rPr>
            </w:pPr>
            <w:r>
              <w:rPr>
                <w:color w:val="auto"/>
              </w:rP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FC800">
            <w:pPr>
              <w:pStyle w:val="6"/>
              <w:spacing w:beforeAutospacing="0" w:afterAutospacing="0" w:line="0" w:lineRule="atLeast"/>
              <w:jc w:val="center"/>
              <w:rPr>
                <w:color w:val="auto"/>
              </w:rPr>
            </w:pPr>
            <w:r>
              <w:rPr>
                <w:color w:val="auto"/>
              </w:rPr>
              <w:t> </w:t>
            </w:r>
          </w:p>
        </w:tc>
      </w:tr>
      <w:tr w14:paraId="3F0500AD">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FA9E">
            <w:pPr>
              <w:pStyle w:val="6"/>
              <w:spacing w:beforeAutospacing="0" w:afterAutospacing="0" w:line="0" w:lineRule="atLeast"/>
              <w:jc w:val="center"/>
              <w:rPr>
                <w:color w:val="auto"/>
              </w:rPr>
            </w:pPr>
            <w:r>
              <w:rPr>
                <w:rFonts w:hint="eastAsia" w:ascii="宋体" w:hAnsi="宋体" w:eastAsia="宋体" w:cs="宋体"/>
                <w:color w:val="auto"/>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85AD">
            <w:pPr>
              <w:pStyle w:val="6"/>
              <w:spacing w:beforeAutospacing="0" w:afterAutospacing="0" w:line="0" w:lineRule="atLeast"/>
              <w:jc w:val="center"/>
              <w:rPr>
                <w:color w:val="auto"/>
              </w:rPr>
            </w:pPr>
            <w:r>
              <w:rPr>
                <w:rFonts w:hint="eastAsia" w:ascii="宋体" w:hAnsi="宋体" w:eastAsia="宋体" w:cs="宋体"/>
                <w:color w:val="auto"/>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84F1">
            <w:pPr>
              <w:pStyle w:val="6"/>
              <w:spacing w:beforeAutospacing="0" w:afterAutospacing="0" w:line="0" w:lineRule="atLeast"/>
              <w:jc w:val="center"/>
              <w:rPr>
                <w:color w:val="auto"/>
              </w:rPr>
            </w:pPr>
            <w:r>
              <w:rPr>
                <w:color w:val="auto"/>
              </w:rPr>
              <w:t> </w:t>
            </w:r>
          </w:p>
        </w:tc>
      </w:tr>
    </w:tbl>
    <w:p w14:paraId="631E4307">
      <w:pPr>
        <w:pStyle w:val="6"/>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19ED1089">
      <w:pPr>
        <w:pStyle w:val="6"/>
        <w:spacing w:beforeAutospacing="0" w:afterAutospacing="0" w:line="0" w:lineRule="atLeast"/>
        <w:ind w:firstLine="480"/>
        <w:jc w:val="both"/>
      </w:pPr>
      <w:r>
        <w:t> </w:t>
      </w:r>
    </w:p>
    <w:p w14:paraId="6035CB1E">
      <w:pPr>
        <w:pStyle w:val="6"/>
        <w:spacing w:beforeAutospacing="0" w:afterAutospacing="0" w:line="0" w:lineRule="atLeast"/>
        <w:jc w:val="both"/>
      </w:pPr>
      <w:r>
        <w:t> </w:t>
      </w:r>
    </w:p>
    <w:p w14:paraId="20EA87A1">
      <w:pPr>
        <w:pStyle w:val="6"/>
        <w:spacing w:beforeAutospacing="0" w:afterAutospacing="0" w:line="0" w:lineRule="atLeast"/>
        <w:ind w:firstLine="480"/>
        <w:jc w:val="both"/>
      </w:pPr>
      <w:r>
        <w:t> </w:t>
      </w:r>
    </w:p>
    <w:p w14:paraId="37F5B1DB">
      <w:pPr>
        <w:pStyle w:val="6"/>
        <w:spacing w:beforeAutospacing="0" w:afterAutospacing="0"/>
        <w:ind w:firstLine="602"/>
        <w:jc w:val="both"/>
      </w:pPr>
      <w:r>
        <w:t> </w:t>
      </w:r>
    </w:p>
    <w:p w14:paraId="2FC01AE0">
      <w:pPr>
        <w:pStyle w:val="6"/>
        <w:spacing w:beforeAutospacing="0" w:afterAutospacing="0"/>
        <w:jc w:val="both"/>
      </w:pPr>
      <w:r>
        <w:t> </w:t>
      </w:r>
    </w:p>
    <w:p w14:paraId="4510AF9C">
      <w:pPr>
        <w:pStyle w:val="6"/>
        <w:spacing w:beforeAutospacing="0" w:afterAutospacing="0"/>
        <w:jc w:val="both"/>
      </w:pPr>
      <w:r>
        <w:t> </w:t>
      </w:r>
    </w:p>
    <w:p w14:paraId="5AE69628">
      <w:pPr>
        <w:pStyle w:val="6"/>
        <w:spacing w:beforeAutospacing="0" w:afterAutospacing="0"/>
        <w:jc w:val="both"/>
      </w:pPr>
      <w:r>
        <w:t> </w:t>
      </w:r>
    </w:p>
    <w:p w14:paraId="712D5F4B">
      <w:pPr>
        <w:pStyle w:val="6"/>
        <w:spacing w:beforeAutospacing="0" w:afterAutospacing="0"/>
        <w:jc w:val="both"/>
      </w:pPr>
      <w:r>
        <w:t> </w:t>
      </w:r>
    </w:p>
    <w:p w14:paraId="167B60F7">
      <w:pPr>
        <w:pStyle w:val="6"/>
        <w:spacing w:beforeAutospacing="0" w:afterAutospacing="0"/>
        <w:jc w:val="both"/>
      </w:pPr>
      <w:r>
        <w:t> </w:t>
      </w:r>
    </w:p>
    <w:p w14:paraId="2FCB842A">
      <w:pPr>
        <w:pStyle w:val="6"/>
        <w:spacing w:beforeAutospacing="0" w:afterAutospacing="0"/>
        <w:jc w:val="both"/>
      </w:pPr>
      <w:r>
        <w:t> </w:t>
      </w:r>
    </w:p>
    <w:p w14:paraId="2CEDD409">
      <w:pPr>
        <w:pStyle w:val="6"/>
        <w:spacing w:beforeAutospacing="0" w:afterAutospacing="0"/>
        <w:jc w:val="both"/>
      </w:pPr>
      <w:r>
        <w:t> </w:t>
      </w:r>
    </w:p>
    <w:p w14:paraId="08F23BB4">
      <w:pPr>
        <w:pStyle w:val="6"/>
        <w:spacing w:beforeAutospacing="0" w:afterAutospacing="0"/>
        <w:jc w:val="both"/>
      </w:pPr>
      <w:r>
        <w:t> </w:t>
      </w:r>
    </w:p>
    <w:p w14:paraId="543309C8">
      <w:pPr>
        <w:pStyle w:val="6"/>
        <w:spacing w:beforeAutospacing="0" w:afterAutospacing="0"/>
        <w:jc w:val="both"/>
      </w:pPr>
      <w:r>
        <w:t> </w:t>
      </w:r>
    </w:p>
    <w:p w14:paraId="73CFFAEE">
      <w:pPr>
        <w:pStyle w:val="6"/>
        <w:spacing w:beforeAutospacing="0" w:afterAutospacing="0"/>
        <w:jc w:val="both"/>
      </w:pPr>
      <w:r>
        <w:t> </w:t>
      </w:r>
    </w:p>
    <w:p w14:paraId="0C40A70F">
      <w:pPr>
        <w:pStyle w:val="6"/>
        <w:tabs>
          <w:tab w:val="left" w:pos="6205"/>
        </w:tabs>
        <w:spacing w:beforeAutospacing="0" w:afterAutospacing="0"/>
        <w:jc w:val="both"/>
      </w:pPr>
      <w:r>
        <w:t> </w:t>
      </w:r>
    </w:p>
    <w:p w14:paraId="17178E35">
      <w:pPr>
        <w:pStyle w:val="6"/>
        <w:tabs>
          <w:tab w:val="left" w:pos="6205"/>
        </w:tabs>
        <w:spacing w:beforeAutospacing="0" w:afterAutospacing="0"/>
        <w:jc w:val="both"/>
      </w:pPr>
      <w:r>
        <w:t> </w:t>
      </w:r>
    </w:p>
    <w:p w14:paraId="01418994">
      <w:pPr>
        <w:pStyle w:val="6"/>
        <w:spacing w:beforeAutospacing="0" w:afterAutospacing="0"/>
        <w:jc w:val="both"/>
      </w:pPr>
      <w:bookmarkStart w:id="163" w:name="_Toc120614281"/>
      <w:r>
        <w:t> </w:t>
      </w:r>
    </w:p>
    <w:p w14:paraId="04AFA024">
      <w:pPr>
        <w:pStyle w:val="6"/>
        <w:spacing w:beforeAutospacing="0" w:afterAutospacing="0"/>
        <w:jc w:val="both"/>
      </w:pPr>
      <w:r>
        <w:t> </w:t>
      </w:r>
    </w:p>
    <w:p w14:paraId="5D35D119">
      <w:pPr>
        <w:pStyle w:val="6"/>
        <w:spacing w:beforeAutospacing="0" w:afterAutospacing="0"/>
        <w:jc w:val="both"/>
      </w:pPr>
      <w:r>
        <w:t> </w:t>
      </w:r>
    </w:p>
    <w:p w14:paraId="5EED7DAD">
      <w:pPr>
        <w:pStyle w:val="6"/>
        <w:spacing w:beforeAutospacing="0" w:afterAutospacing="0"/>
        <w:jc w:val="both"/>
      </w:pPr>
      <w:r>
        <w:t> </w:t>
      </w:r>
    </w:p>
    <w:p w14:paraId="3383C6BE">
      <w:pPr>
        <w:pStyle w:val="6"/>
        <w:spacing w:beforeAutospacing="0" w:afterAutospacing="0"/>
        <w:jc w:val="both"/>
      </w:pPr>
      <w:r>
        <w:t> </w:t>
      </w:r>
    </w:p>
    <w:p w14:paraId="08C83607">
      <w:pPr>
        <w:pStyle w:val="6"/>
        <w:spacing w:beforeAutospacing="0" w:afterAutospacing="0"/>
        <w:jc w:val="both"/>
      </w:pPr>
      <w:r>
        <w:t> </w:t>
      </w:r>
    </w:p>
    <w:p w14:paraId="42297ABD">
      <w:pPr>
        <w:pStyle w:val="6"/>
        <w:keepNext/>
        <w:spacing w:beforeAutospacing="0" w:afterAutospacing="0"/>
        <w:jc w:val="center"/>
      </w:pPr>
      <w:r>
        <w:t> </w:t>
      </w:r>
    </w:p>
    <w:p w14:paraId="71A43858">
      <w:pPr>
        <w:rPr>
          <w:rFonts w:ascii="黑体" w:hAnsi="宋体" w:eastAsia="黑体" w:cs="黑体"/>
          <w:color w:val="000000"/>
          <w:sz w:val="44"/>
          <w:szCs w:val="44"/>
        </w:rPr>
      </w:pPr>
      <w:r>
        <w:rPr>
          <w:rFonts w:hint="eastAsia" w:ascii="黑体" w:hAnsi="宋体" w:eastAsia="黑体" w:cs="黑体"/>
          <w:color w:val="000000"/>
          <w:sz w:val="44"/>
          <w:szCs w:val="44"/>
        </w:rPr>
        <w:br w:type="page"/>
      </w:r>
    </w:p>
    <w:p w14:paraId="01C0AA97">
      <w:pPr>
        <w:pStyle w:val="6"/>
        <w:keepNext/>
        <w:spacing w:beforeAutospacing="0" w:afterAutospacing="0"/>
        <w:jc w:val="center"/>
      </w:pPr>
      <w:r>
        <w:rPr>
          <w:rFonts w:hint="eastAsia" w:ascii="黑体" w:hAnsi="宋体" w:eastAsia="黑体" w:cs="黑体"/>
          <w:color w:val="000000"/>
          <w:sz w:val="44"/>
          <w:szCs w:val="44"/>
        </w:rPr>
        <w:t xml:space="preserve">第五章  响应文件格式 </w:t>
      </w:r>
    </w:p>
    <w:p w14:paraId="1316401A">
      <w:pPr>
        <w:pStyle w:val="6"/>
        <w:spacing w:beforeAutospacing="0" w:afterAutospacing="0"/>
        <w:jc w:val="center"/>
      </w:pPr>
      <w:bookmarkStart w:id="164" w:name="_Toc120614282"/>
      <w:bookmarkEnd w:id="164"/>
      <w:bookmarkStart w:id="165" w:name="_Toc49090576"/>
      <w:bookmarkEnd w:id="165"/>
      <w:bookmarkStart w:id="166" w:name="_Hlt26671244"/>
      <w:bookmarkStart w:id="167" w:name="_Hlt26955039"/>
      <w:bookmarkStart w:id="168" w:name="_Toc26554094"/>
      <w:r>
        <w:rPr>
          <w:rFonts w:hint="eastAsia" w:ascii="宋体" w:hAnsi="宋体" w:eastAsia="宋体" w:cs="宋体"/>
          <w:b/>
          <w:color w:val="000000"/>
          <w:sz w:val="72"/>
          <w:szCs w:val="72"/>
        </w:rPr>
        <w:t>响  应  文  件</w:t>
      </w:r>
    </w:p>
    <w:p w14:paraId="446A2980">
      <w:pPr>
        <w:pStyle w:val="6"/>
        <w:spacing w:beforeAutospacing="0" w:afterAutospacing="0"/>
        <w:jc w:val="center"/>
      </w:pPr>
      <w:r>
        <w:t> </w:t>
      </w:r>
    </w:p>
    <w:p w14:paraId="63123DE3">
      <w:pPr>
        <w:pStyle w:val="6"/>
        <w:spacing w:beforeAutospacing="0" w:afterAutospacing="0"/>
        <w:jc w:val="center"/>
      </w:pPr>
      <w:r>
        <w:t> </w:t>
      </w:r>
    </w:p>
    <w:p w14:paraId="0ABE6289">
      <w:pPr>
        <w:pStyle w:val="6"/>
        <w:spacing w:beforeAutospacing="0" w:afterAutospacing="0"/>
        <w:jc w:val="center"/>
      </w:pPr>
      <w:r>
        <w:t> </w:t>
      </w:r>
    </w:p>
    <w:p w14:paraId="6E597A05">
      <w:pPr>
        <w:pStyle w:val="6"/>
        <w:spacing w:beforeAutospacing="0" w:afterAutospacing="0"/>
        <w:jc w:val="center"/>
      </w:pPr>
      <w:r>
        <w:t> </w:t>
      </w:r>
    </w:p>
    <w:p w14:paraId="23673622">
      <w:pPr>
        <w:pStyle w:val="6"/>
        <w:spacing w:beforeAutospacing="0" w:afterAutospacing="0"/>
        <w:jc w:val="center"/>
      </w:pPr>
      <w:r>
        <w:t> </w:t>
      </w:r>
    </w:p>
    <w:p w14:paraId="7963B696">
      <w:pPr>
        <w:pStyle w:val="6"/>
        <w:spacing w:beforeAutospacing="0" w:afterAutospacing="0"/>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xml:space="preserve">               </w:t>
      </w:r>
    </w:p>
    <w:p w14:paraId="73DFA202">
      <w:pPr>
        <w:pStyle w:val="6"/>
        <w:spacing w:beforeAutospacing="0" w:afterAutospacing="0"/>
        <w:jc w:val="both"/>
      </w:pPr>
      <w:r>
        <w:rPr>
          <w:rFonts w:hint="eastAsia" w:ascii="宋体" w:hAnsi="宋体" w:eastAsia="宋体" w:cs="宋体"/>
          <w:b/>
          <w:color w:val="000000"/>
          <w:sz w:val="36"/>
          <w:szCs w:val="36"/>
        </w:rPr>
        <w:t>项 目 编 号：</w:t>
      </w:r>
      <w:r>
        <w:rPr>
          <w:rFonts w:hint="eastAsia" w:ascii="宋体" w:hAnsi="宋体" w:eastAsia="宋体" w:cs="宋体"/>
          <w:b/>
          <w:color w:val="000000"/>
          <w:sz w:val="36"/>
          <w:szCs w:val="36"/>
          <w:u w:val="single"/>
        </w:rPr>
        <w:t xml:space="preserve">               </w:t>
      </w:r>
    </w:p>
    <w:p w14:paraId="17689C7B">
      <w:pPr>
        <w:pStyle w:val="6"/>
        <w:spacing w:beforeAutospacing="0" w:afterAutospacing="0"/>
        <w:jc w:val="both"/>
      </w:pPr>
      <w:r>
        <w:rPr>
          <w:rFonts w:hint="eastAsia" w:ascii="宋体" w:hAnsi="宋体" w:eastAsia="宋体" w:cs="宋体"/>
          <w:b/>
          <w:color w:val="000000"/>
          <w:sz w:val="36"/>
          <w:szCs w:val="36"/>
        </w:rPr>
        <w:t>供应商名称 ：</w:t>
      </w:r>
      <w:r>
        <w:rPr>
          <w:rFonts w:hint="eastAsia" w:ascii="宋体" w:hAnsi="宋体" w:eastAsia="宋体" w:cs="宋体"/>
          <w:b/>
          <w:color w:val="000000"/>
          <w:sz w:val="36"/>
          <w:szCs w:val="36"/>
          <w:u w:val="single"/>
        </w:rPr>
        <w:t>（加盖CA电子公章）</w:t>
      </w:r>
      <w:r>
        <w:rPr>
          <w:rFonts w:hint="eastAsia" w:ascii="宋体" w:hAnsi="宋体" w:eastAsia="宋体" w:cs="宋体"/>
          <w:b/>
          <w:color w:val="000000"/>
          <w:sz w:val="36"/>
          <w:szCs w:val="36"/>
        </w:rPr>
        <w:t>日      期 ：</w:t>
      </w:r>
      <w:r>
        <w:rPr>
          <w:rFonts w:hint="eastAsia" w:ascii="宋体" w:hAnsi="宋体" w:eastAsia="宋体" w:cs="宋体"/>
          <w:b/>
          <w:color w:val="000000"/>
          <w:sz w:val="36"/>
          <w:szCs w:val="36"/>
          <w:u w:val="single"/>
        </w:rPr>
        <w:t xml:space="preserve">               </w:t>
      </w:r>
    </w:p>
    <w:p w14:paraId="3946EDB2">
      <w:pPr>
        <w:pStyle w:val="6"/>
        <w:spacing w:beforeAutospacing="0" w:afterAutospacing="0" w:line="0" w:lineRule="atLeast"/>
        <w:jc w:val="center"/>
      </w:pPr>
      <w:r>
        <w:t> </w:t>
      </w:r>
    </w:p>
    <w:p w14:paraId="47DD7AD5">
      <w:pPr>
        <w:pStyle w:val="6"/>
        <w:spacing w:beforeAutospacing="0" w:afterAutospacing="0" w:line="0" w:lineRule="atLeast"/>
        <w:jc w:val="both"/>
      </w:pPr>
      <w:r>
        <w:t> </w:t>
      </w:r>
    </w:p>
    <w:p w14:paraId="0626C9CB">
      <w:pPr>
        <w:pStyle w:val="6"/>
        <w:spacing w:beforeAutospacing="0" w:afterAutospacing="0"/>
        <w:ind w:firstLine="1084"/>
        <w:jc w:val="both"/>
      </w:pPr>
      <w:r>
        <w:rPr>
          <w:rFonts w:hint="eastAsia" w:ascii="宋体" w:hAnsi="宋体" w:eastAsia="宋体" w:cs="宋体"/>
          <w:b/>
          <w:color w:val="000000"/>
          <w:sz w:val="36"/>
          <w:szCs w:val="36"/>
          <w:u w:val="single"/>
        </w:rPr>
        <w:br w:type="page"/>
      </w:r>
      <w:r>
        <w:rPr>
          <w:rFonts w:hint="eastAsia" w:ascii="宋体" w:hAnsi="宋体" w:eastAsia="宋体" w:cs="宋体"/>
          <w:b/>
          <w:color w:val="000000"/>
          <w:sz w:val="36"/>
          <w:szCs w:val="36"/>
          <w:u w:val="single"/>
        </w:rPr>
        <w:t> </w:t>
      </w:r>
    </w:p>
    <w:p w14:paraId="21383EFB">
      <w:pPr>
        <w:pStyle w:val="6"/>
        <w:spacing w:beforeAutospacing="0" w:afterAutospacing="0" w:line="0" w:lineRule="atLeast"/>
        <w:jc w:val="center"/>
      </w:pPr>
      <w:r>
        <w:rPr>
          <w:rFonts w:hint="eastAsia" w:ascii="宋体" w:hAnsi="宋体" w:eastAsia="宋体" w:cs="宋体"/>
          <w:b/>
          <w:color w:val="000000"/>
          <w:sz w:val="32"/>
          <w:szCs w:val="32"/>
        </w:rPr>
        <w:t>响应文件目录</w:t>
      </w:r>
    </w:p>
    <w:p w14:paraId="416942C9">
      <w:pPr>
        <w:pStyle w:val="6"/>
        <w:spacing w:beforeAutospacing="0" w:afterAutospacing="0" w:line="0" w:lineRule="atLeast"/>
        <w:jc w:val="center"/>
      </w:pPr>
      <w:r>
        <w:t> </w:t>
      </w:r>
    </w:p>
    <w:p w14:paraId="4DC218A4">
      <w:pPr>
        <w:pStyle w:val="6"/>
        <w:spacing w:beforeAutospacing="0" w:afterAutospacing="0"/>
        <w:ind w:left="480"/>
        <w:jc w:val="both"/>
      </w:pPr>
      <w:r>
        <w:rPr>
          <w:rFonts w:hint="eastAsia" w:ascii="宋体" w:hAnsi="宋体" w:eastAsia="宋体" w:cs="宋体"/>
          <w:i/>
          <w:color w:val="000000"/>
          <w:u w:val="single"/>
        </w:rPr>
        <w:t>一、法人或者其他组织的营业执照等证明文件，自然人的身份证明</w:t>
      </w:r>
    </w:p>
    <w:p w14:paraId="204FCAA1">
      <w:pPr>
        <w:tabs>
          <w:tab w:val="left" w:pos="1331"/>
        </w:tabs>
        <w:bidi w:val="0"/>
        <w:ind w:firstLine="480" w:firstLineChars="200"/>
        <w:jc w:val="left"/>
        <w:rPr>
          <w:rFonts w:hint="eastAsia" w:ascii="宋体" w:hAnsi="宋体" w:eastAsia="宋体" w:cs="宋体"/>
          <w:i/>
          <w:color w:val="000000"/>
          <w:kern w:val="0"/>
          <w:sz w:val="24"/>
          <w:szCs w:val="24"/>
          <w:highlight w:val="red"/>
          <w:u w:val="single"/>
          <w:lang w:val="en-US" w:eastAsia="zh-CN" w:bidi="ar-SA"/>
        </w:rPr>
      </w:pPr>
      <w:r>
        <w:rPr>
          <w:rFonts w:hint="eastAsia" w:ascii="宋体" w:hAnsi="宋体" w:eastAsia="宋体" w:cs="宋体"/>
          <w:i/>
          <w:color w:val="000000"/>
          <w:kern w:val="0"/>
          <w:sz w:val="24"/>
          <w:szCs w:val="24"/>
          <w:u w:val="single"/>
          <w:lang w:val="en-US" w:eastAsia="zh-CN" w:bidi="ar-SA"/>
        </w:rPr>
        <w:t>二、上一年度的财务状况报表（</w:t>
      </w:r>
      <w:r>
        <w:rPr>
          <w:rFonts w:hint="eastAsia" w:ascii="宋体" w:hAnsi="宋体" w:eastAsia="宋体" w:cs="宋体"/>
          <w:i/>
          <w:color w:val="000000"/>
          <w:kern w:val="0"/>
          <w:sz w:val="24"/>
          <w:szCs w:val="24"/>
          <w:highlight w:val="red"/>
          <w:u w:val="single"/>
          <w:lang w:val="en-US" w:eastAsia="zh-CN" w:bidi="ar-SA"/>
        </w:rPr>
        <w:t>至少提供资产负债表、利润表、现金流量表，</w:t>
      </w:r>
    </w:p>
    <w:p w14:paraId="195B226D">
      <w:pPr>
        <w:pStyle w:val="6"/>
        <w:spacing w:beforeAutospacing="0" w:afterAutospacing="0"/>
        <w:ind w:left="480"/>
        <w:jc w:val="both"/>
      </w:pPr>
      <w:r>
        <w:rPr>
          <w:rFonts w:hint="eastAsia" w:ascii="宋体" w:hAnsi="宋体" w:eastAsia="宋体" w:cs="宋体"/>
          <w:i/>
          <w:color w:val="000000"/>
          <w:highlight w:val="red"/>
          <w:u w:val="single"/>
        </w:rPr>
        <w:t>谈判供应商成立不满一年无需提供</w:t>
      </w:r>
      <w:r>
        <w:rPr>
          <w:rFonts w:hint="eastAsia" w:ascii="宋体" w:hAnsi="宋体" w:eastAsia="宋体" w:cs="宋体"/>
          <w:i/>
          <w:color w:val="000000"/>
          <w:u w:val="single"/>
        </w:rPr>
        <w:t>）</w:t>
      </w:r>
    </w:p>
    <w:p w14:paraId="2C9F232A">
      <w:pPr>
        <w:pStyle w:val="6"/>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三</w:t>
      </w:r>
      <w:r>
        <w:rPr>
          <w:rFonts w:hint="eastAsia" w:ascii="宋体" w:hAnsi="宋体" w:eastAsia="宋体" w:cs="宋体"/>
          <w:i/>
          <w:color w:val="000000"/>
          <w:u w:val="single"/>
        </w:rPr>
        <w:t>、具备履行合同所必需的设备和专业技术能力的书面声明</w:t>
      </w:r>
    </w:p>
    <w:p w14:paraId="14971AC0">
      <w:pPr>
        <w:pStyle w:val="6"/>
        <w:spacing w:beforeAutospacing="0" w:afterAutospacing="0"/>
        <w:ind w:left="480"/>
        <w:jc w:val="both"/>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谈判响应文件截止时间前一年内至少一个月依法缴纳税收及缴纳社会保障资金的证明材料。谈判供应商依法享受缓缴、免缴税收、社会保障资金的提供证明材料。）</w:t>
      </w:r>
    </w:p>
    <w:p w14:paraId="4B59748B">
      <w:pPr>
        <w:pStyle w:val="6"/>
        <w:spacing w:beforeAutospacing="0" w:afterAutospacing="0" w:line="0" w:lineRule="atLeast"/>
        <w:ind w:firstLine="480"/>
        <w:jc w:val="both"/>
      </w:pPr>
      <w:r>
        <w:rPr>
          <w:rFonts w:hint="eastAsia" w:ascii="宋体" w:hAnsi="宋体" w:eastAsia="宋体" w:cs="宋体"/>
          <w:i/>
          <w:color w:val="000000"/>
          <w:u w:val="single"/>
        </w:rPr>
        <w:t>五、参加政府采购活动前 3 年内在经营活动中没有重大违法记录的书面声明</w:t>
      </w:r>
    </w:p>
    <w:p w14:paraId="30BB3997">
      <w:pPr>
        <w:pStyle w:val="6"/>
        <w:spacing w:beforeAutospacing="0" w:afterAutospacing="0" w:line="0" w:lineRule="atLeast"/>
        <w:ind w:firstLine="480"/>
        <w:jc w:val="both"/>
      </w:pPr>
      <w:r>
        <w:rPr>
          <w:rFonts w:hint="eastAsia" w:ascii="宋体" w:hAnsi="宋体" w:eastAsia="宋体" w:cs="宋体"/>
          <w:i/>
          <w:color w:val="000000"/>
          <w:u w:val="single"/>
        </w:rPr>
        <w:t>六、特定资格要求的证明文件（如果本项目设置特定资格要求，则需要提供）</w:t>
      </w:r>
    </w:p>
    <w:p w14:paraId="4463FD49">
      <w:pPr>
        <w:pStyle w:val="6"/>
        <w:spacing w:beforeAutospacing="0" w:afterAutospacing="0" w:line="0" w:lineRule="atLeast"/>
        <w:ind w:firstLine="480"/>
        <w:jc w:val="both"/>
      </w:pPr>
      <w:r>
        <w:rPr>
          <w:rFonts w:hint="eastAsia" w:ascii="宋体" w:hAnsi="宋体" w:eastAsia="宋体" w:cs="宋体"/>
          <w:i/>
          <w:color w:val="000000"/>
          <w:u w:val="single"/>
        </w:rPr>
        <w:t>七、法人授权书</w:t>
      </w:r>
    </w:p>
    <w:p w14:paraId="446EEF70">
      <w:pPr>
        <w:pStyle w:val="6"/>
        <w:spacing w:beforeAutospacing="0" w:afterAutospacing="0" w:line="0" w:lineRule="atLeast"/>
        <w:ind w:firstLine="480"/>
        <w:jc w:val="both"/>
      </w:pPr>
      <w:r>
        <w:rPr>
          <w:rFonts w:hint="eastAsia" w:ascii="宋体" w:hAnsi="宋体" w:eastAsia="宋体" w:cs="宋体"/>
          <w:i/>
          <w:color w:val="000000"/>
          <w:u w:val="single"/>
        </w:rPr>
        <w:t>八、谈判响应函</w:t>
      </w:r>
    </w:p>
    <w:p w14:paraId="0DCEDEF8">
      <w:pPr>
        <w:pStyle w:val="6"/>
        <w:spacing w:beforeAutospacing="0" w:afterAutospacing="0" w:line="0" w:lineRule="atLeast"/>
        <w:ind w:firstLine="480"/>
        <w:jc w:val="both"/>
      </w:pPr>
      <w:r>
        <w:rPr>
          <w:rFonts w:hint="eastAsia" w:ascii="宋体" w:hAnsi="宋体" w:eastAsia="宋体" w:cs="宋体"/>
          <w:color w:val="000000"/>
        </w:rPr>
        <w:t>九、小微企业声明函</w:t>
      </w:r>
    </w:p>
    <w:p w14:paraId="150FC7BE">
      <w:pPr>
        <w:pStyle w:val="6"/>
        <w:spacing w:beforeAutospacing="0" w:afterAutospacing="0" w:line="0" w:lineRule="atLeast"/>
        <w:ind w:firstLine="480"/>
        <w:jc w:val="both"/>
      </w:pPr>
      <w:r>
        <w:rPr>
          <w:rFonts w:hint="eastAsia" w:ascii="宋体" w:hAnsi="宋体" w:eastAsia="宋体" w:cs="宋体"/>
          <w:color w:val="000000"/>
        </w:rPr>
        <w:t>十、残疾人福利性单位声明函</w:t>
      </w:r>
    </w:p>
    <w:p w14:paraId="5A1B9E54">
      <w:pPr>
        <w:pStyle w:val="6"/>
        <w:spacing w:beforeAutospacing="0" w:afterAutospacing="0" w:line="0" w:lineRule="atLeast"/>
        <w:ind w:firstLine="480"/>
        <w:jc w:val="both"/>
      </w:pPr>
      <w:r>
        <w:rPr>
          <w:rFonts w:hint="eastAsia" w:ascii="宋体" w:hAnsi="宋体" w:eastAsia="宋体" w:cs="宋体"/>
          <w:color w:val="000000"/>
        </w:rPr>
        <w:t>十一、联合体协议</w:t>
      </w:r>
    </w:p>
    <w:p w14:paraId="700CB99B">
      <w:pPr>
        <w:pStyle w:val="6"/>
        <w:spacing w:beforeAutospacing="0" w:afterAutospacing="0" w:line="0" w:lineRule="atLeast"/>
        <w:ind w:firstLine="480"/>
        <w:jc w:val="both"/>
      </w:pPr>
      <w:r>
        <w:rPr>
          <w:rFonts w:hint="eastAsia" w:ascii="宋体" w:hAnsi="宋体" w:eastAsia="宋体" w:cs="宋体"/>
          <w:color w:val="000000"/>
        </w:rPr>
        <w:t>十二、分项报价表</w:t>
      </w:r>
    </w:p>
    <w:p w14:paraId="34C58D8D">
      <w:pPr>
        <w:pStyle w:val="6"/>
        <w:spacing w:beforeAutospacing="0" w:afterAutospacing="0" w:line="0" w:lineRule="atLeast"/>
        <w:ind w:firstLine="480"/>
        <w:jc w:val="both"/>
      </w:pPr>
      <w:r>
        <w:rPr>
          <w:rFonts w:hint="eastAsia" w:ascii="宋体" w:hAnsi="宋体" w:eastAsia="宋体" w:cs="宋体"/>
          <w:color w:val="000000"/>
        </w:rPr>
        <w:t>十三、技术要求响应及偏离表</w:t>
      </w:r>
    </w:p>
    <w:p w14:paraId="60507FD5">
      <w:pPr>
        <w:pStyle w:val="6"/>
        <w:spacing w:beforeAutospacing="0" w:afterAutospacing="0" w:line="0" w:lineRule="atLeast"/>
        <w:ind w:firstLine="480"/>
        <w:jc w:val="both"/>
      </w:pPr>
      <w:r>
        <w:rPr>
          <w:rFonts w:hint="eastAsia" w:ascii="宋体" w:hAnsi="宋体" w:eastAsia="宋体" w:cs="宋体"/>
          <w:color w:val="000000"/>
        </w:rPr>
        <w:t>十四、商务要求响应及偏离表</w:t>
      </w:r>
    </w:p>
    <w:p w14:paraId="3B892048">
      <w:pPr>
        <w:widowControl/>
        <w:spacing w:before="50" w:after="50"/>
        <w:ind w:firstLine="420" w:firstLineChars="200"/>
        <w:rPr>
          <w:rFonts w:ascii="宋体" w:hAnsi="宋体" w:eastAsia="宋体" w:cs="宋体"/>
          <w:color w:val="000000"/>
          <w:kern w:val="0"/>
          <w:sz w:val="24"/>
        </w:rPr>
      </w:pPr>
      <w:r>
        <w:t> </w:t>
      </w:r>
      <w:r>
        <w:rPr>
          <w:rFonts w:hint="eastAsia" w:ascii="宋体" w:hAnsi="宋体" w:eastAsia="宋体" w:cs="宋体"/>
          <w:color w:val="000000"/>
          <w:kern w:val="0"/>
          <w:sz w:val="24"/>
          <w:highlight w:val="cyan"/>
        </w:rPr>
        <w:t>十五、技术方案、服务承诺、培训承诺等</w:t>
      </w:r>
    </w:p>
    <w:p w14:paraId="1977E145">
      <w:pPr>
        <w:pStyle w:val="6"/>
        <w:spacing w:beforeAutospacing="0" w:afterAutospacing="0" w:line="360" w:lineRule="auto"/>
        <w:ind w:firstLine="480"/>
        <w:jc w:val="both"/>
        <w:rPr>
          <w:rFonts w:ascii="宋体" w:hAnsi="宋体" w:eastAsia="宋体" w:cs="宋体"/>
          <w:color w:val="000000"/>
        </w:rPr>
      </w:pPr>
      <w:r>
        <w:rPr>
          <w:rFonts w:hint="eastAsia" w:ascii="宋体" w:hAnsi="宋体" w:eastAsia="宋体" w:cs="宋体"/>
          <w:color w:val="000000"/>
          <w:highlight w:val="cyan"/>
        </w:rPr>
        <w:t>十六、盐城市政府采购事前信用承诺书</w:t>
      </w:r>
    </w:p>
    <w:p w14:paraId="542189C2">
      <w:pPr>
        <w:pStyle w:val="6"/>
        <w:spacing w:beforeAutospacing="0" w:afterAutospacing="0" w:line="0" w:lineRule="atLeast"/>
        <w:ind w:firstLine="480"/>
        <w:jc w:val="both"/>
      </w:pPr>
    </w:p>
    <w:p w14:paraId="62C85F47">
      <w:pPr>
        <w:pStyle w:val="6"/>
        <w:spacing w:beforeAutospacing="0" w:afterAutospacing="0" w:line="0" w:lineRule="atLeast"/>
        <w:ind w:firstLine="480"/>
        <w:jc w:val="both"/>
      </w:pPr>
      <w:r>
        <w:t> </w:t>
      </w:r>
    </w:p>
    <w:p w14:paraId="04848A77">
      <w:pPr>
        <w:pStyle w:val="6"/>
        <w:spacing w:beforeAutospacing="0" w:afterAutospacing="0" w:line="0" w:lineRule="atLeast"/>
        <w:ind w:firstLine="480"/>
        <w:jc w:val="both"/>
      </w:pPr>
      <w:r>
        <w:t> </w:t>
      </w:r>
    </w:p>
    <w:p w14:paraId="6FCB6073">
      <w:pPr>
        <w:pStyle w:val="6"/>
        <w:spacing w:beforeAutospacing="0" w:afterAutospacing="0" w:line="0" w:lineRule="atLeast"/>
        <w:ind w:firstLine="480"/>
        <w:jc w:val="both"/>
      </w:pPr>
      <w:r>
        <w:t> </w:t>
      </w:r>
    </w:p>
    <w:p w14:paraId="563D446A">
      <w:pPr>
        <w:pStyle w:val="6"/>
        <w:spacing w:beforeAutospacing="0" w:afterAutospacing="0" w:line="0" w:lineRule="atLeast"/>
        <w:ind w:firstLine="480"/>
        <w:jc w:val="both"/>
      </w:pPr>
      <w:r>
        <w:t> </w:t>
      </w:r>
    </w:p>
    <w:p w14:paraId="289238DC">
      <w:pPr>
        <w:pStyle w:val="6"/>
        <w:spacing w:beforeAutospacing="0" w:afterAutospacing="0" w:line="0" w:lineRule="atLeast"/>
        <w:ind w:firstLine="480"/>
        <w:jc w:val="both"/>
      </w:pPr>
      <w:r>
        <w:t> </w:t>
      </w:r>
    </w:p>
    <w:p w14:paraId="3591CB10">
      <w:pPr>
        <w:pStyle w:val="6"/>
        <w:spacing w:beforeAutospacing="0" w:afterAutospacing="0" w:line="0" w:lineRule="atLeast"/>
        <w:ind w:firstLine="480"/>
        <w:jc w:val="both"/>
      </w:pPr>
      <w:r>
        <w:t> </w:t>
      </w:r>
    </w:p>
    <w:p w14:paraId="589F30F6">
      <w:pPr>
        <w:pStyle w:val="6"/>
        <w:spacing w:beforeAutospacing="0" w:afterAutospacing="0" w:line="0" w:lineRule="atLeast"/>
        <w:ind w:firstLine="480"/>
        <w:jc w:val="both"/>
      </w:pPr>
      <w:r>
        <w:t> </w:t>
      </w:r>
    </w:p>
    <w:p w14:paraId="24ECBD33">
      <w:pPr>
        <w:pStyle w:val="6"/>
        <w:spacing w:beforeAutospacing="0" w:afterAutospacing="0" w:line="0" w:lineRule="atLeast"/>
        <w:ind w:firstLine="480"/>
        <w:jc w:val="both"/>
      </w:pPr>
      <w:r>
        <w:t> </w:t>
      </w:r>
    </w:p>
    <w:p w14:paraId="36DFA658">
      <w:r>
        <w:br w:type="page"/>
      </w:r>
    </w:p>
    <w:p w14:paraId="1CF1C2FD">
      <w:pPr>
        <w:pStyle w:val="6"/>
        <w:spacing w:beforeAutospacing="0" w:afterAutospacing="0" w:line="0" w:lineRule="atLeast"/>
        <w:ind w:firstLine="480"/>
        <w:jc w:val="both"/>
      </w:pPr>
    </w:p>
    <w:p w14:paraId="0FED016C">
      <w:pPr>
        <w:pStyle w:val="6"/>
        <w:spacing w:beforeAutospacing="0" w:afterAutospacing="0" w:line="0" w:lineRule="atLeast"/>
        <w:ind w:firstLine="480"/>
        <w:jc w:val="both"/>
      </w:pPr>
      <w:r>
        <w:t> </w:t>
      </w:r>
    </w:p>
    <w:p w14:paraId="6FBD6D3F">
      <w:pPr>
        <w:pStyle w:val="6"/>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5D1DA631">
      <w:pPr>
        <w:pStyle w:val="6"/>
        <w:spacing w:beforeAutospacing="0" w:afterAutospacing="0" w:line="0" w:lineRule="atLeast"/>
        <w:ind w:firstLine="480"/>
        <w:jc w:val="both"/>
      </w:pPr>
      <w:r>
        <w:t> </w:t>
      </w:r>
    </w:p>
    <w:p w14:paraId="289F9B92">
      <w:pPr>
        <w:pStyle w:val="6"/>
        <w:spacing w:beforeAutospacing="0" w:afterAutospacing="0"/>
        <w:jc w:val="both"/>
        <w:rPr>
          <w:rFonts w:eastAsia="黑体"/>
          <w:highlight w:val="red"/>
        </w:rPr>
      </w:pPr>
      <w:r>
        <w:rPr>
          <w:rFonts w:hint="eastAsia" w:ascii="黑体" w:hAnsi="宋体" w:eastAsia="黑体" w:cs="黑体"/>
          <w:i/>
          <w:color w:val="000000"/>
          <w:sz w:val="32"/>
          <w:szCs w:val="32"/>
          <w:u w:val="single"/>
        </w:rPr>
        <w:t>二、上一年度的财务状况报</w:t>
      </w:r>
      <w:r>
        <w:rPr>
          <w:rFonts w:hint="eastAsia" w:ascii="黑体" w:hAnsi="宋体" w:eastAsia="黑体" w:cs="黑体"/>
          <w:i/>
          <w:color w:val="000000"/>
          <w:sz w:val="32"/>
          <w:szCs w:val="32"/>
          <w:highlight w:val="red"/>
          <w:u w:val="single"/>
        </w:rPr>
        <w:t>表</w:t>
      </w:r>
    </w:p>
    <w:p w14:paraId="7243066C">
      <w:pPr>
        <w:pStyle w:val="6"/>
        <w:spacing w:beforeAutospacing="0" w:afterAutospacing="0" w:line="0" w:lineRule="atLeast"/>
        <w:ind w:firstLine="480"/>
        <w:jc w:val="both"/>
      </w:pPr>
      <w:r>
        <w:rPr>
          <w:rFonts w:hint="eastAsia" w:ascii="宋体" w:hAnsi="宋体" w:eastAsia="宋体" w:cs="宋体"/>
          <w:color w:val="000000"/>
        </w:rPr>
        <w:t>供应商成立不满一年无需提供</w:t>
      </w:r>
    </w:p>
    <w:p w14:paraId="4877AD7B">
      <w:pPr>
        <w:pStyle w:val="6"/>
        <w:spacing w:beforeAutospacing="0" w:afterAutospacing="0"/>
        <w:jc w:val="both"/>
      </w:pPr>
      <w:r>
        <w:t> </w:t>
      </w:r>
    </w:p>
    <w:p w14:paraId="78F2B014">
      <w:pPr>
        <w:pStyle w:val="6"/>
        <w:spacing w:beforeAutospacing="0" w:afterAutospacing="0"/>
        <w:jc w:val="both"/>
      </w:pPr>
      <w:r>
        <w:t> </w:t>
      </w:r>
    </w:p>
    <w:p w14:paraId="07D5A705">
      <w:pPr>
        <w:pStyle w:val="6"/>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74177CBB">
      <w:pPr>
        <w:pStyle w:val="6"/>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00E175C9">
      <w:pPr>
        <w:pStyle w:val="6"/>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2F01D67B">
      <w:pPr>
        <w:pStyle w:val="6"/>
        <w:spacing w:beforeAutospacing="0" w:afterAutospacing="0" w:line="0" w:lineRule="atLeast"/>
        <w:ind w:firstLine="492"/>
        <w:jc w:val="both"/>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3377245">
      <w:pPr>
        <w:pStyle w:val="6"/>
        <w:spacing w:beforeAutospacing="0" w:afterAutospacing="0"/>
        <w:jc w:val="left"/>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1A82CF9C">
      <w:pPr>
        <w:pStyle w:val="6"/>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3D2AEE23">
      <w:pPr>
        <w:pStyle w:val="6"/>
        <w:spacing w:beforeAutospacing="0" w:afterAutospacing="0" w:line="0" w:lineRule="atLeast"/>
        <w:jc w:val="both"/>
      </w:pPr>
      <w:r>
        <w:rPr>
          <w:rFonts w:hint="eastAsia" w:ascii="宋体" w:hAnsi="宋体" w:eastAsia="宋体" w:cs="宋体"/>
          <w:color w:val="000000"/>
        </w:rPr>
        <w:t xml:space="preserve">                    </w:t>
      </w:r>
    </w:p>
    <w:p w14:paraId="443907DC">
      <w:pPr>
        <w:pStyle w:val="6"/>
        <w:spacing w:beforeAutospacing="0" w:afterAutospacing="0"/>
        <w:jc w:val="both"/>
      </w:pPr>
      <w:r>
        <w:t> </w:t>
      </w:r>
    </w:p>
    <w:p w14:paraId="2078FCE0">
      <w:pPr>
        <w:pStyle w:val="6"/>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12EE8D6E">
      <w:pPr>
        <w:pStyle w:val="6"/>
        <w:spacing w:beforeAutospacing="0" w:afterAutospacing="0" w:line="0" w:lineRule="atLeast"/>
        <w:jc w:val="both"/>
      </w:pPr>
      <w:r>
        <w:rPr>
          <w:rFonts w:hint="eastAsia" w:ascii="宋体" w:hAnsi="宋体" w:eastAsia="宋体" w:cs="宋体"/>
          <w:b/>
          <w:color w:val="000000"/>
          <w:sz w:val="44"/>
          <w:szCs w:val="44"/>
        </w:rPr>
        <w:t>                 声  明</w:t>
      </w:r>
    </w:p>
    <w:p w14:paraId="78171E61">
      <w:pPr>
        <w:pStyle w:val="6"/>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289B0F6A">
      <w:pPr>
        <w:pStyle w:val="6"/>
        <w:spacing w:beforeAutospacing="0" w:afterAutospacing="0"/>
        <w:jc w:val="both"/>
      </w:pPr>
      <w:r>
        <w:t> </w:t>
      </w:r>
    </w:p>
    <w:p w14:paraId="181018F1">
      <w:pPr>
        <w:pStyle w:val="6"/>
        <w:spacing w:beforeAutospacing="0" w:afterAutospacing="0"/>
        <w:jc w:val="both"/>
      </w:pPr>
      <w:r>
        <w:rPr>
          <w:rFonts w:hint="eastAsia" w:ascii="黑体" w:hAnsi="宋体" w:eastAsia="黑体" w:cs="黑体"/>
          <w:i/>
          <w:color w:val="000000"/>
          <w:sz w:val="32"/>
          <w:szCs w:val="32"/>
          <w:u w:val="single"/>
        </w:rPr>
        <w:t>六、特定资格要求的证明文件</w:t>
      </w:r>
    </w:p>
    <w:p w14:paraId="37E709FA">
      <w:pPr>
        <w:pStyle w:val="6"/>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00BCE898">
      <w:pPr>
        <w:pStyle w:val="6"/>
        <w:spacing w:beforeAutospacing="0" w:afterAutospacing="0"/>
        <w:jc w:val="center"/>
      </w:pPr>
      <w:bookmarkStart w:id="169" w:name="_Toc120614284"/>
      <w:r>
        <w:rPr>
          <w:rFonts w:hint="eastAsia" w:ascii="黑体" w:hAnsi="宋体" w:eastAsia="黑体" w:cs="黑体"/>
          <w:i/>
          <w:color w:val="000000"/>
          <w:sz w:val="32"/>
          <w:szCs w:val="32"/>
          <w:u w:val="single"/>
        </w:rPr>
        <w:t>七、法人授权书</w:t>
      </w:r>
    </w:p>
    <w:p w14:paraId="6F327927">
      <w:pPr>
        <w:pStyle w:val="6"/>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6B8B40B7">
      <w:pPr>
        <w:pStyle w:val="6"/>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4E2B8487">
      <w:pPr>
        <w:pStyle w:val="6"/>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0BC11A33">
      <w:pPr>
        <w:pStyle w:val="6"/>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6EE33B40">
      <w:pPr>
        <w:pStyle w:val="6"/>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2DACE4AE">
      <w:pPr>
        <w:pStyle w:val="6"/>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1B1F1A04">
      <w:pPr>
        <w:pStyle w:val="6"/>
        <w:tabs>
          <w:tab w:val="left" w:pos="360"/>
        </w:tabs>
        <w:spacing w:beforeAutospacing="0" w:afterAutospacing="0"/>
        <w:ind w:firstLine="480"/>
        <w:jc w:val="both"/>
      </w:pPr>
      <w:r>
        <w:rPr>
          <w:rFonts w:ascii="Times New Roman" w:hAnsi="Times New Roman"/>
          <w:color w:val="000000"/>
        </w:rPr>
        <w:t>      日期：</w:t>
      </w:r>
      <w:bookmarkStart w:id="170" w:name="_格式3__银行出具的资信证明"/>
      <w:bookmarkStart w:id="171" w:name="_Hlt26671380"/>
      <w:bookmarkStart w:id="172" w:name="_Hlt26955070"/>
      <w:r>
        <w:rPr>
          <w:rFonts w:ascii="Times New Roman" w:hAnsi="Times New Roman"/>
          <w:color w:val="000000"/>
          <w:u w:val="single"/>
        </w:rPr>
        <w:t xml:space="preserve">                                         </w:t>
      </w:r>
    </w:p>
    <w:p w14:paraId="6056EAA6">
      <w:pPr>
        <w:pStyle w:val="6"/>
        <w:spacing w:beforeAutospacing="0" w:afterAutospacing="0" w:line="0" w:lineRule="atLeast"/>
        <w:ind w:firstLine="360"/>
        <w:jc w:val="both"/>
      </w:pPr>
      <w:r>
        <w:rPr>
          <w:rFonts w:ascii="楷体" w:hAnsi="楷体" w:eastAsia="楷体" w:cs="楷体"/>
          <w:color w:val="FF0000"/>
          <w:shd w:val="clear" w:color="auto" w:fill="FFFF00"/>
        </w:rPr>
        <w:t>备注 我公司（单位）委托进行现场演示的人员为（本项目如果无现场演示要求，请项目经办人自行删除备注）</w:t>
      </w:r>
    </w:p>
    <w:p w14:paraId="04ADE690">
      <w:pPr>
        <w:pStyle w:val="6"/>
        <w:spacing w:beforeAutospacing="0" w:afterAutospacing="0" w:line="0" w:lineRule="atLeast"/>
        <w:jc w:val="both"/>
      </w:pP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（人员姓名），身份证号</w:t>
      </w: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w:t>
      </w:r>
    </w:p>
    <w:p w14:paraId="4167A8DF">
      <w:pPr>
        <w:pStyle w:val="6"/>
        <w:spacing w:beforeAutospacing="0" w:afterAutospacing="0" w:line="0" w:lineRule="atLeast"/>
        <w:jc w:val="both"/>
      </w:pPr>
      <w:r>
        <w:rPr>
          <w:rFonts w:hint="eastAsia" w:ascii="宋体" w:hAnsi="宋体" w:eastAsia="宋体" w:cs="宋体"/>
          <w:color w:val="FF0000"/>
          <w:shd w:val="clear" w:color="auto" w:fill="FFFF00"/>
        </w:rPr>
        <w:t>……</w:t>
      </w:r>
    </w:p>
    <w:p w14:paraId="3DD985F4">
      <w:pPr>
        <w:pStyle w:val="6"/>
        <w:tabs>
          <w:tab w:val="left" w:pos="360"/>
        </w:tabs>
        <w:spacing w:beforeAutospacing="0" w:afterAutospacing="0"/>
        <w:ind w:firstLine="480"/>
        <w:jc w:val="both"/>
      </w:pPr>
      <w:r>
        <w:t> </w:t>
      </w:r>
    </w:p>
    <w:p w14:paraId="4521B976">
      <w:pPr>
        <w:pStyle w:val="6"/>
        <w:tabs>
          <w:tab w:val="left" w:pos="360"/>
        </w:tabs>
        <w:spacing w:beforeAutospacing="0" w:afterAutospacing="0"/>
        <w:ind w:firstLine="480"/>
        <w:jc w:val="both"/>
      </w:pPr>
      <w:r>
        <w:t> </w:t>
      </w:r>
    </w:p>
    <w:p w14:paraId="48D9C339">
      <w:pPr>
        <w:pStyle w:val="6"/>
        <w:spacing w:beforeAutospacing="0" w:afterAutospacing="0"/>
        <w:ind w:firstLine="420"/>
        <w:jc w:val="both"/>
      </w:pPr>
      <w:r>
        <w:t> </w:t>
      </w:r>
    </w:p>
    <w:p w14:paraId="5A186D85">
      <w:pPr>
        <w:pStyle w:val="6"/>
        <w:spacing w:beforeAutospacing="0" w:afterAutospacing="0"/>
        <w:jc w:val="both"/>
      </w:pPr>
      <w:r>
        <w:t> </w:t>
      </w:r>
    </w:p>
    <w:p w14:paraId="776D54F5">
      <w:pPr>
        <w:pStyle w:val="6"/>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八、谈判响应函</w:t>
      </w:r>
    </w:p>
    <w:p w14:paraId="1375E4B5">
      <w:pPr>
        <w:pStyle w:val="6"/>
        <w:spacing w:beforeAutospacing="0" w:afterAutospacing="0" w:line="0" w:lineRule="atLeast"/>
      </w:pPr>
      <w:r>
        <w:rPr>
          <w:rFonts w:hint="eastAsia" w:ascii="宋体" w:hAnsi="宋体" w:eastAsia="宋体" w:cs="宋体"/>
          <w:color w:val="000000"/>
        </w:rPr>
        <w:t>致：盐城市政府采购中心</w:t>
      </w:r>
    </w:p>
    <w:p w14:paraId="2B64EDFD">
      <w:pPr>
        <w:pStyle w:val="6"/>
        <w:spacing w:beforeAutospacing="0" w:afterAutospacing="0" w:line="0" w:lineRule="atLeast"/>
        <w:ind w:firstLine="480"/>
      </w:pPr>
      <w:r>
        <w:rPr>
          <w:rFonts w:hint="eastAsia" w:ascii="宋体" w:hAnsi="宋体" w:eastAsia="宋体" w:cs="宋体"/>
          <w:color w:val="000000"/>
        </w:rPr>
        <w:t>根据贵方的JSZC-320900-***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号谈判文件，正式授权下述签字人______(姓名)代表我方______________（供应商的名称），全权处理本次项目谈判的有关事宜。</w:t>
      </w:r>
    </w:p>
    <w:p w14:paraId="3BA65F6F">
      <w:pPr>
        <w:pStyle w:val="6"/>
        <w:spacing w:beforeAutospacing="0" w:afterAutospacing="0" w:line="0" w:lineRule="atLeast"/>
        <w:ind w:firstLine="480"/>
      </w:pPr>
      <w:r>
        <w:rPr>
          <w:rFonts w:hint="eastAsia" w:ascii="宋体" w:hAnsi="宋体" w:eastAsia="宋体" w:cs="宋体"/>
          <w:color w:val="000000"/>
        </w:rPr>
        <w:t>据此函，__________签字人兹宣布同意如下：</w:t>
      </w:r>
    </w:p>
    <w:p w14:paraId="2A55258E">
      <w:pPr>
        <w:pStyle w:val="6"/>
        <w:spacing w:beforeAutospacing="0" w:afterAutospacing="0" w:line="0" w:lineRule="atLeast"/>
        <w:ind w:firstLine="480"/>
      </w:pPr>
      <w:r>
        <w:rPr>
          <w:rFonts w:hint="eastAsia" w:ascii="宋体" w:hAnsi="宋体" w:eastAsia="宋体" w:cs="宋体"/>
          <w:color w:val="000000"/>
        </w:rPr>
        <w:t>1.按谈判文件规定的各项要求，向买方提供所需货物、服务（包含与货物相关的服务及与服务相关的货物）。</w:t>
      </w:r>
    </w:p>
    <w:p w14:paraId="42F290A6">
      <w:pPr>
        <w:pStyle w:val="6"/>
        <w:spacing w:beforeAutospacing="0" w:afterAutospacing="0" w:line="0" w:lineRule="atLeast"/>
        <w:ind w:firstLine="480"/>
      </w:pPr>
      <w:r>
        <w:rPr>
          <w:rFonts w:hint="eastAsia" w:ascii="宋体" w:hAnsi="宋体" w:eastAsia="宋体" w:cs="宋体"/>
          <w:color w:val="000000"/>
        </w:rPr>
        <w:t>2.我们已详细审核全部谈判文件及其有效补充文件，我们知道必须放弃提出含糊不清或误解问题的权利。</w:t>
      </w:r>
    </w:p>
    <w:p w14:paraId="2572B84E">
      <w:pPr>
        <w:pStyle w:val="6"/>
        <w:spacing w:beforeAutospacing="0" w:afterAutospacing="0" w:line="0" w:lineRule="atLeast"/>
        <w:ind w:firstLine="480"/>
      </w:pPr>
      <w:r>
        <w:rPr>
          <w:rFonts w:hint="eastAsia" w:ascii="宋体" w:hAnsi="宋体" w:eastAsia="宋体" w:cs="宋体"/>
          <w:color w:val="000000"/>
        </w:rPr>
        <w:t>3.我们同意从规定的开标日期起遵循本响应文件，并在规定的谈判有效期期满之前均具有约束力。</w:t>
      </w:r>
    </w:p>
    <w:p w14:paraId="4BC9EA82">
      <w:pPr>
        <w:pStyle w:val="6"/>
        <w:spacing w:beforeAutospacing="0" w:afterAutospacing="0" w:line="0" w:lineRule="atLeast"/>
        <w:ind w:firstLine="480"/>
      </w:pPr>
      <w:r>
        <w:rPr>
          <w:rFonts w:hint="eastAsia" w:ascii="宋体" w:hAnsi="宋体" w:eastAsia="宋体" w:cs="宋体"/>
          <w:color w:val="000000"/>
        </w:rPr>
        <w:t>4.同意向贵方提供贵方可能另外要求的与谈判有关的任何证据或资料，并保证我方已提供和将要提供的文件是真实的、准确的。</w:t>
      </w:r>
    </w:p>
    <w:p w14:paraId="50411431">
      <w:pPr>
        <w:pStyle w:val="6"/>
        <w:spacing w:beforeAutospacing="0" w:afterAutospacing="0" w:line="0" w:lineRule="atLeast"/>
        <w:ind w:firstLine="480"/>
      </w:pPr>
      <w:r>
        <w:rPr>
          <w:rFonts w:hint="eastAsia" w:ascii="宋体" w:hAnsi="宋体" w:eastAsia="宋体" w:cs="宋体"/>
          <w:color w:val="000000"/>
        </w:rPr>
        <w:t>5.一旦我方成交,我方将根据谈判文件的规定，严格履行合同的责任和义务,并保证在谈判文件规定的时间完成项目，交付买方验收、使用。</w:t>
      </w:r>
    </w:p>
    <w:p w14:paraId="19811E12">
      <w:pPr>
        <w:pStyle w:val="6"/>
        <w:spacing w:beforeAutospacing="0" w:afterAutospacing="0" w:line="0" w:lineRule="atLeast"/>
        <w:ind w:left="425"/>
      </w:pPr>
      <w:r>
        <w:rPr>
          <w:rFonts w:hint="eastAsia" w:ascii="宋体" w:hAnsi="宋体" w:eastAsia="宋体" w:cs="宋体"/>
          <w:color w:val="000000"/>
        </w:rPr>
        <w:t>6.我方与本谈判有关的正式通讯地址为：</w:t>
      </w:r>
    </w:p>
    <w:p w14:paraId="7C78A471">
      <w:pPr>
        <w:pStyle w:val="6"/>
        <w:spacing w:beforeAutospacing="0" w:afterAutospacing="0" w:line="0" w:lineRule="atLeast"/>
        <w:ind w:left="420" w:firstLine="480"/>
      </w:pPr>
      <w:r>
        <w:rPr>
          <w:rFonts w:hint="eastAsia" w:ascii="宋体" w:hAnsi="宋体" w:eastAsia="宋体" w:cs="宋体"/>
          <w:color w:val="000000"/>
        </w:rPr>
        <w:t>地          址：</w:t>
      </w:r>
    </w:p>
    <w:p w14:paraId="7A74BA3D">
      <w:pPr>
        <w:pStyle w:val="6"/>
        <w:spacing w:beforeAutospacing="0" w:afterAutospacing="0" w:line="0" w:lineRule="atLeast"/>
        <w:ind w:left="420" w:firstLine="480"/>
      </w:pPr>
      <w:r>
        <w:rPr>
          <w:rFonts w:hint="eastAsia" w:ascii="宋体" w:hAnsi="宋体" w:eastAsia="宋体" w:cs="宋体"/>
          <w:color w:val="000000"/>
        </w:rPr>
        <w:t>邮          编：</w:t>
      </w:r>
    </w:p>
    <w:p w14:paraId="3C749CE9">
      <w:pPr>
        <w:pStyle w:val="6"/>
        <w:spacing w:beforeAutospacing="0" w:afterAutospacing="0" w:line="0" w:lineRule="atLeast"/>
        <w:ind w:left="420" w:firstLine="480"/>
      </w:pPr>
      <w:r>
        <w:rPr>
          <w:rFonts w:hint="eastAsia" w:ascii="宋体" w:hAnsi="宋体" w:eastAsia="宋体" w:cs="宋体"/>
          <w:color w:val="000000"/>
        </w:rPr>
        <w:t>电          话：</w:t>
      </w:r>
    </w:p>
    <w:p w14:paraId="50030496">
      <w:pPr>
        <w:pStyle w:val="6"/>
        <w:spacing w:beforeAutospacing="0" w:afterAutospacing="0" w:line="0" w:lineRule="atLeast"/>
        <w:ind w:left="420" w:firstLine="480"/>
      </w:pPr>
      <w:r>
        <w:rPr>
          <w:rFonts w:hint="eastAsia" w:ascii="宋体" w:hAnsi="宋体" w:eastAsia="宋体" w:cs="宋体"/>
          <w:color w:val="000000"/>
        </w:rPr>
        <w:t>传          真：</w:t>
      </w:r>
    </w:p>
    <w:p w14:paraId="7AF64C28">
      <w:pPr>
        <w:pStyle w:val="6"/>
        <w:spacing w:beforeAutospacing="0" w:afterAutospacing="0" w:line="0" w:lineRule="atLeast"/>
        <w:ind w:left="420" w:firstLine="480"/>
      </w:pPr>
      <w:r>
        <w:rPr>
          <w:rFonts w:hint="eastAsia" w:ascii="宋体" w:hAnsi="宋体" w:eastAsia="宋体" w:cs="宋体"/>
          <w:color w:val="000000"/>
        </w:rPr>
        <w:t>供应商开户行：</w:t>
      </w:r>
    </w:p>
    <w:p w14:paraId="295DCD56">
      <w:pPr>
        <w:pStyle w:val="6"/>
        <w:spacing w:beforeAutospacing="0" w:afterAutospacing="0" w:line="0" w:lineRule="atLeast"/>
        <w:ind w:left="420" w:firstLine="480"/>
      </w:pPr>
      <w:r>
        <w:rPr>
          <w:rFonts w:hint="eastAsia" w:ascii="宋体" w:hAnsi="宋体" w:eastAsia="宋体" w:cs="宋体"/>
          <w:color w:val="000000"/>
        </w:rPr>
        <w:t xml:space="preserve">账          号： </w:t>
      </w:r>
    </w:p>
    <w:p w14:paraId="57DD37DC">
      <w:pPr>
        <w:pStyle w:val="6"/>
        <w:spacing w:beforeAutospacing="0" w:afterAutospacing="0" w:line="0" w:lineRule="atLeast"/>
        <w:ind w:left="420" w:firstLine="480"/>
      </w:pPr>
      <w:r>
        <w:rPr>
          <w:rFonts w:hint="eastAsia" w:ascii="宋体" w:hAnsi="宋体" w:eastAsia="宋体" w:cs="宋体"/>
          <w:color w:val="000000"/>
        </w:rPr>
        <w:t>日           期：________年____月____日</w:t>
      </w:r>
    </w:p>
    <w:p w14:paraId="084429FA">
      <w:pPr>
        <w:pStyle w:val="6"/>
        <w:spacing w:beforeAutospacing="0" w:afterAutospacing="0" w:line="0" w:lineRule="atLeast"/>
        <w:ind w:firstLine="240"/>
        <w:jc w:val="center"/>
      </w:pPr>
      <w:r>
        <w:t> </w:t>
      </w:r>
    </w:p>
    <w:p w14:paraId="0296E032">
      <w:pPr>
        <w:pStyle w:val="6"/>
        <w:spacing w:beforeAutospacing="0" w:afterAutospacing="0" w:line="0" w:lineRule="atLeast"/>
        <w:ind w:firstLine="240"/>
        <w:jc w:val="center"/>
      </w:pPr>
      <w:r>
        <w:t> </w:t>
      </w:r>
    </w:p>
    <w:p w14:paraId="6CBCA5E4">
      <w:pPr>
        <w:pStyle w:val="6"/>
        <w:spacing w:beforeAutospacing="0" w:afterAutospacing="0" w:line="0" w:lineRule="atLeast"/>
        <w:ind w:firstLine="240"/>
        <w:jc w:val="center"/>
      </w:pPr>
      <w:r>
        <w:t> </w:t>
      </w:r>
    </w:p>
    <w:p w14:paraId="4BA3F572">
      <w:pPr>
        <w:pStyle w:val="6"/>
        <w:spacing w:beforeAutospacing="0" w:afterAutospacing="0" w:line="0" w:lineRule="atLeast"/>
        <w:ind w:firstLine="240"/>
        <w:jc w:val="center"/>
      </w:pPr>
      <w:r>
        <w:t> </w:t>
      </w:r>
    </w:p>
    <w:p w14:paraId="6B5EF826">
      <w:pPr>
        <w:pStyle w:val="6"/>
        <w:spacing w:beforeAutospacing="0" w:afterAutospacing="0" w:line="0" w:lineRule="atLeast"/>
        <w:ind w:firstLine="240"/>
        <w:jc w:val="center"/>
      </w:pPr>
      <w:r>
        <w:t> </w:t>
      </w:r>
    </w:p>
    <w:p w14:paraId="75B0F865">
      <w:pPr>
        <w:pStyle w:val="6"/>
        <w:spacing w:beforeAutospacing="0" w:afterAutospacing="0" w:line="0" w:lineRule="atLeast"/>
        <w:ind w:firstLine="321"/>
        <w:jc w:val="center"/>
      </w:pPr>
      <w:r>
        <w:t> </w:t>
      </w:r>
    </w:p>
    <w:p w14:paraId="5C859375">
      <w:r>
        <w:br w:type="page"/>
      </w:r>
    </w:p>
    <w:p w14:paraId="4152E617">
      <w:pPr>
        <w:pStyle w:val="6"/>
        <w:spacing w:beforeAutospacing="0" w:afterAutospacing="0" w:line="0" w:lineRule="atLeast"/>
        <w:jc w:val="both"/>
      </w:pPr>
      <w:r>
        <w:t> </w:t>
      </w:r>
    </w:p>
    <w:p w14:paraId="0D314F47">
      <w:pPr>
        <w:pStyle w:val="6"/>
        <w:spacing w:beforeAutospacing="0" w:afterAutospacing="0" w:line="0" w:lineRule="atLeast"/>
        <w:jc w:val="center"/>
      </w:pPr>
      <w:r>
        <w:rPr>
          <w:rFonts w:hint="eastAsia" w:ascii="黑体" w:hAnsi="宋体" w:eastAsia="黑体" w:cs="黑体"/>
          <w:b/>
          <w:color w:val="000000"/>
          <w:sz w:val="32"/>
          <w:szCs w:val="32"/>
        </w:rPr>
        <w:t>九、小微企业声明函（服务）（分包号：**）</w:t>
      </w:r>
    </w:p>
    <w:p w14:paraId="61B401D5">
      <w:pPr>
        <w:pStyle w:val="6"/>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服务全部由符合政策的小微企业承接。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392DB907">
      <w:pPr>
        <w:pStyle w:val="6"/>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23FC04BB">
      <w:pPr>
        <w:pStyle w:val="6"/>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02F8F7F0">
      <w:pPr>
        <w:pStyle w:val="6"/>
        <w:spacing w:beforeAutospacing="0" w:afterAutospacing="0" w:line="0" w:lineRule="atLeast"/>
        <w:ind w:firstLine="360"/>
        <w:jc w:val="both"/>
      </w:pPr>
      <w:r>
        <w:rPr>
          <w:rFonts w:hint="eastAsia" w:ascii="宋体" w:hAnsi="宋体" w:eastAsia="宋体" w:cs="宋体"/>
          <w:color w:val="000000"/>
        </w:rPr>
        <w:t>……</w:t>
      </w:r>
    </w:p>
    <w:p w14:paraId="65E7F9FF">
      <w:pPr>
        <w:pStyle w:val="6"/>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169CA285">
      <w:pPr>
        <w:pStyle w:val="6"/>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44142CBF">
      <w:pPr>
        <w:pStyle w:val="6"/>
        <w:spacing w:beforeAutospacing="0" w:afterAutospacing="0" w:line="0" w:lineRule="atLeast"/>
        <w:ind w:right="720"/>
        <w:jc w:val="both"/>
      </w:pPr>
      <w:r>
        <w:t> </w:t>
      </w:r>
    </w:p>
    <w:p w14:paraId="163D2ED9">
      <w:pPr>
        <w:pStyle w:val="6"/>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7ED38870">
      <w:pPr>
        <w:pStyle w:val="6"/>
        <w:spacing w:beforeAutospacing="0" w:afterAutospacing="0" w:line="0" w:lineRule="atLeast"/>
        <w:ind w:right="480" w:firstLine="5400"/>
        <w:jc w:val="both"/>
      </w:pPr>
      <w:r>
        <w:rPr>
          <w:rFonts w:hint="eastAsia" w:ascii="宋体" w:hAnsi="宋体" w:eastAsia="宋体" w:cs="宋体"/>
          <w:color w:val="000000"/>
        </w:rPr>
        <w:t>日  期：</w:t>
      </w:r>
    </w:p>
    <w:p w14:paraId="07EAE312">
      <w:pPr>
        <w:pStyle w:val="6"/>
        <w:spacing w:beforeAutospacing="0" w:afterAutospacing="0" w:line="0" w:lineRule="atLeast"/>
        <w:ind w:firstLine="240"/>
        <w:jc w:val="both"/>
      </w:pPr>
      <w:r>
        <w:t> </w:t>
      </w:r>
    </w:p>
    <w:p w14:paraId="4CE9FE9D">
      <w:pPr>
        <w:pStyle w:val="6"/>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14E1D837">
      <w:pPr>
        <w:pStyle w:val="6"/>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3F2E642E">
      <w:pPr>
        <w:pStyle w:val="6"/>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402AAA86">
      <w:pPr>
        <w:pStyle w:val="6"/>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1E67CD83">
      <w:pPr>
        <w:pStyle w:val="6"/>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1EF29CC3">
      <w:pPr>
        <w:pStyle w:val="6"/>
        <w:spacing w:beforeAutospacing="0" w:afterAutospacing="0" w:line="0" w:lineRule="atLeast"/>
        <w:ind w:firstLine="480"/>
        <w:jc w:val="both"/>
      </w:pPr>
      <w:r>
        <w:t> </w:t>
      </w:r>
    </w:p>
    <w:p w14:paraId="095653F0">
      <w:pPr>
        <w:pStyle w:val="6"/>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。2、成交供应商为残疾人福利单位的，此声明函将随成交结果同时公告，接受社会监督</w:t>
      </w:r>
    </w:p>
    <w:p w14:paraId="0D231464">
      <w:pPr>
        <w:pStyle w:val="6"/>
        <w:spacing w:beforeAutospacing="0" w:afterAutospacing="0" w:line="0" w:lineRule="atLeast"/>
        <w:ind w:firstLine="624"/>
        <w:jc w:val="both"/>
      </w:pPr>
      <w:r>
        <w:t> </w:t>
      </w:r>
    </w:p>
    <w:p w14:paraId="340C6919">
      <w:pPr>
        <w:pStyle w:val="6"/>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00BCB88B">
      <w:pPr>
        <w:pStyle w:val="6"/>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179ED266">
      <w:pPr>
        <w:pStyle w:val="6"/>
        <w:spacing w:beforeAutospacing="0" w:afterAutospacing="0" w:line="0" w:lineRule="atLeast"/>
        <w:jc w:val="center"/>
      </w:pPr>
      <w:r>
        <w:t> </w:t>
      </w:r>
    </w:p>
    <w:p w14:paraId="2184A5D9">
      <w:pPr>
        <w:pStyle w:val="6"/>
        <w:spacing w:beforeAutospacing="0" w:afterAutospacing="0" w:line="0" w:lineRule="atLeast"/>
        <w:jc w:val="center"/>
      </w:pPr>
      <w:r>
        <w:t> </w:t>
      </w:r>
    </w:p>
    <w:p w14:paraId="2935FB45">
      <w:pPr>
        <w:pStyle w:val="6"/>
        <w:spacing w:beforeAutospacing="0" w:afterAutospacing="0" w:line="0" w:lineRule="atLeast"/>
        <w:jc w:val="center"/>
      </w:pPr>
      <w:r>
        <w:t> </w:t>
      </w:r>
    </w:p>
    <w:p w14:paraId="6EF35532">
      <w:pPr>
        <w:pStyle w:val="6"/>
        <w:spacing w:beforeAutospacing="0" w:afterAutospacing="0" w:line="0" w:lineRule="atLeast"/>
        <w:jc w:val="center"/>
      </w:pPr>
      <w:r>
        <w:t> </w:t>
      </w:r>
    </w:p>
    <w:p w14:paraId="2D211359">
      <w:pPr>
        <w:pStyle w:val="6"/>
        <w:spacing w:beforeAutospacing="0" w:afterAutospacing="0" w:line="0" w:lineRule="atLeast"/>
        <w:jc w:val="center"/>
      </w:pPr>
      <w:r>
        <w:t> </w:t>
      </w:r>
    </w:p>
    <w:p w14:paraId="7524258F">
      <w:pPr>
        <w:pStyle w:val="6"/>
        <w:spacing w:beforeAutospacing="0" w:afterAutospacing="0" w:line="0" w:lineRule="atLeast"/>
        <w:jc w:val="center"/>
      </w:pPr>
      <w:r>
        <w:t> </w:t>
      </w:r>
    </w:p>
    <w:p w14:paraId="50E2DC6F">
      <w:pPr>
        <w:pStyle w:val="6"/>
        <w:spacing w:beforeAutospacing="0" w:afterAutospacing="0" w:line="0" w:lineRule="atLeast"/>
        <w:jc w:val="center"/>
      </w:pPr>
      <w:r>
        <w:t> </w:t>
      </w:r>
    </w:p>
    <w:p w14:paraId="37FD024D">
      <w:pPr>
        <w:pStyle w:val="6"/>
        <w:spacing w:beforeAutospacing="0" w:afterAutospacing="0" w:line="0" w:lineRule="atLeast"/>
        <w:jc w:val="center"/>
      </w:pPr>
      <w:r>
        <w:t> </w:t>
      </w:r>
    </w:p>
    <w:p w14:paraId="34056FA5">
      <w:pPr>
        <w:pStyle w:val="6"/>
        <w:spacing w:beforeAutospacing="0" w:afterAutospacing="0" w:line="0" w:lineRule="atLeast"/>
        <w:jc w:val="center"/>
      </w:pPr>
      <w:r>
        <w:t> </w:t>
      </w:r>
    </w:p>
    <w:p w14:paraId="3387A33E">
      <w:pPr>
        <w:pStyle w:val="6"/>
        <w:spacing w:beforeAutospacing="0" w:afterAutospacing="0" w:line="0" w:lineRule="atLeast"/>
        <w:jc w:val="center"/>
      </w:pPr>
      <w:r>
        <w:t> </w:t>
      </w:r>
    </w:p>
    <w:p w14:paraId="357F1A32">
      <w:pPr>
        <w:pStyle w:val="6"/>
        <w:spacing w:beforeAutospacing="0" w:afterAutospacing="0" w:line="0" w:lineRule="atLeast"/>
        <w:jc w:val="center"/>
      </w:pPr>
      <w:r>
        <w:t> </w:t>
      </w:r>
    </w:p>
    <w:p w14:paraId="668A59AF">
      <w:pPr>
        <w:pStyle w:val="6"/>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26A64A6C">
      <w:pPr>
        <w:pStyle w:val="6"/>
        <w:spacing w:beforeAutospacing="0" w:afterAutospacing="0" w:line="0" w:lineRule="atLeast"/>
        <w:jc w:val="both"/>
      </w:pPr>
      <w:r>
        <w:rPr>
          <w:rFonts w:hint="eastAsia" w:ascii="宋体" w:hAnsi="宋体" w:eastAsia="宋体" w:cs="宋体"/>
          <w:color w:val="000000"/>
        </w:rPr>
        <w:t>（联合体中各供应商全称）在此达成以下协议：</w:t>
      </w:r>
    </w:p>
    <w:p w14:paraId="44B45F32">
      <w:pPr>
        <w:pStyle w:val="6"/>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38302AD5">
      <w:pPr>
        <w:pStyle w:val="6"/>
        <w:spacing w:beforeAutospacing="0" w:afterAutospacing="0" w:line="0" w:lineRule="atLeast"/>
        <w:ind w:firstLine="645"/>
        <w:jc w:val="both"/>
      </w:pPr>
      <w:r>
        <w:rPr>
          <w:rFonts w:hint="eastAsia" w:ascii="宋体" w:hAnsi="宋体" w:eastAsia="宋体" w:cs="宋体"/>
          <w:color w:val="000000"/>
        </w:rPr>
        <w:t>2、若我们联合成交，（供应商单位1全称）实施项目中（工作内容）部分工作，并承担相应的责任。（供应商单位2全称）实施项目中（工作内容）部分工作，并承担相应的责任……。（注：联合体中各供应商都应明示所承担的工作和相应的责任）。</w:t>
      </w:r>
    </w:p>
    <w:p w14:paraId="1EFDCEFE">
      <w:pPr>
        <w:pStyle w:val="6"/>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15ADFE12">
      <w:pPr>
        <w:pStyle w:val="6"/>
        <w:spacing w:beforeAutospacing="0" w:afterAutospacing="0" w:line="0" w:lineRule="atLeast"/>
        <w:ind w:firstLine="645"/>
        <w:jc w:val="both"/>
      </w:pPr>
      <w:r>
        <w:t> </w:t>
      </w:r>
    </w:p>
    <w:p w14:paraId="3628542F">
      <w:pPr>
        <w:pStyle w:val="6"/>
        <w:spacing w:beforeAutospacing="0" w:afterAutospacing="0" w:line="0" w:lineRule="atLeast"/>
        <w:ind w:firstLine="645"/>
        <w:jc w:val="both"/>
      </w:pPr>
      <w:r>
        <w:rPr>
          <w:rFonts w:hint="eastAsia" w:ascii="宋体" w:hAnsi="宋体" w:eastAsia="宋体" w:cs="宋体"/>
          <w:color w:val="000000"/>
        </w:rPr>
        <w:t>备注：本谈判文件中要求加盖CA电子公章的地方，仅需加盖牵头单位的CA电子公章。</w:t>
      </w:r>
    </w:p>
    <w:p w14:paraId="1A49DD4D">
      <w:pPr>
        <w:pStyle w:val="6"/>
        <w:spacing w:beforeAutospacing="0" w:afterAutospacing="0" w:line="0" w:lineRule="atLeast"/>
        <w:ind w:firstLine="645"/>
        <w:jc w:val="both"/>
      </w:pPr>
      <w:r>
        <w:rPr>
          <w:rFonts w:hint="eastAsia" w:ascii="宋体" w:hAnsi="宋体" w:eastAsia="宋体" w:cs="宋体"/>
          <w:color w:val="000000"/>
        </w:rPr>
        <w:t xml:space="preserve">                                          </w:t>
      </w:r>
    </w:p>
    <w:p w14:paraId="1A27BA4D">
      <w:pPr>
        <w:pStyle w:val="6"/>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08C807AC">
      <w:pPr>
        <w:pStyle w:val="6"/>
        <w:spacing w:beforeAutospacing="0" w:afterAutospacing="0" w:line="0" w:lineRule="atLeast"/>
        <w:ind w:firstLine="645"/>
        <w:jc w:val="both"/>
      </w:pPr>
      <w:r>
        <w:rPr>
          <w:rFonts w:hint="eastAsia" w:ascii="宋体" w:hAnsi="宋体" w:eastAsia="宋体" w:cs="宋体"/>
          <w:color w:val="000000"/>
        </w:rPr>
        <w:t>                                        日期：</w:t>
      </w:r>
    </w:p>
    <w:p w14:paraId="2B386506">
      <w:pPr>
        <w:pStyle w:val="6"/>
        <w:spacing w:beforeAutospacing="0" w:afterAutospacing="0" w:line="0" w:lineRule="atLeast"/>
        <w:ind w:firstLine="645"/>
        <w:jc w:val="both"/>
      </w:pPr>
      <w:r>
        <w:t> </w:t>
      </w:r>
    </w:p>
    <w:p w14:paraId="391C6095">
      <w:pPr>
        <w:pStyle w:val="6"/>
        <w:spacing w:beforeAutospacing="0" w:afterAutospacing="0" w:line="0" w:lineRule="atLeast"/>
        <w:jc w:val="both"/>
      </w:pPr>
      <w:r>
        <w:t> </w:t>
      </w:r>
    </w:p>
    <w:p w14:paraId="5CC6630D">
      <w:pPr>
        <w:pStyle w:val="6"/>
        <w:spacing w:beforeAutospacing="0" w:afterAutospacing="0" w:line="0" w:lineRule="atLeast"/>
        <w:jc w:val="both"/>
      </w:pPr>
      <w:r>
        <w:t> </w:t>
      </w:r>
    </w:p>
    <w:p w14:paraId="35DCABD0">
      <w:pPr>
        <w:pStyle w:val="6"/>
        <w:spacing w:beforeAutospacing="0" w:afterAutospacing="0" w:line="0" w:lineRule="atLeast"/>
        <w:jc w:val="both"/>
      </w:pPr>
      <w:r>
        <w:t> </w:t>
      </w:r>
    </w:p>
    <w:p w14:paraId="282D971A">
      <w:pPr>
        <w:pStyle w:val="6"/>
        <w:spacing w:beforeAutospacing="0" w:afterAutospacing="0" w:line="0" w:lineRule="atLeast"/>
        <w:jc w:val="both"/>
      </w:pPr>
      <w:r>
        <w:t> </w:t>
      </w:r>
    </w:p>
    <w:p w14:paraId="1540C64B">
      <w:pPr>
        <w:pStyle w:val="6"/>
        <w:spacing w:beforeAutospacing="0" w:afterAutospacing="0" w:line="0" w:lineRule="atLeast"/>
        <w:jc w:val="both"/>
      </w:pPr>
      <w:r>
        <w:t> </w:t>
      </w:r>
    </w:p>
    <w:p w14:paraId="2FE6F54B">
      <w:pPr>
        <w:pStyle w:val="6"/>
        <w:spacing w:beforeAutospacing="0" w:afterAutospacing="0" w:line="0" w:lineRule="atLeast"/>
        <w:jc w:val="both"/>
      </w:pPr>
      <w:r>
        <w:t> </w:t>
      </w:r>
    </w:p>
    <w:p w14:paraId="515B67B5">
      <w:pPr>
        <w:pStyle w:val="6"/>
        <w:spacing w:beforeAutospacing="0" w:afterAutospacing="0"/>
        <w:jc w:val="both"/>
      </w:pPr>
      <w:r>
        <w:t> </w:t>
      </w:r>
    </w:p>
    <w:p w14:paraId="495C50C8">
      <w:pPr>
        <w:pStyle w:val="6"/>
        <w:spacing w:beforeAutospacing="0" w:afterAutospacing="0"/>
        <w:jc w:val="both"/>
      </w:pPr>
      <w:r>
        <w:t> </w:t>
      </w:r>
    </w:p>
    <w:p w14:paraId="663B5A53">
      <w:pPr>
        <w:pStyle w:val="6"/>
        <w:spacing w:beforeAutospacing="0" w:afterAutospacing="0"/>
        <w:jc w:val="both"/>
      </w:pPr>
      <w:r>
        <w:t> </w:t>
      </w:r>
    </w:p>
    <w:p w14:paraId="203631F6">
      <w:pPr>
        <w:pStyle w:val="6"/>
        <w:spacing w:beforeAutospacing="0" w:afterAutospacing="0"/>
        <w:jc w:val="center"/>
      </w:pPr>
      <w:r>
        <w:rPr>
          <w:rFonts w:hint="eastAsia" w:ascii="黑体" w:hAnsi="宋体" w:eastAsia="黑体" w:cs="黑体"/>
          <w:b/>
          <w:color w:val="FF0000"/>
          <w:sz w:val="32"/>
          <w:szCs w:val="32"/>
        </w:rPr>
        <w:t>十二、分项报价表（分包号：**）（货物类）</w:t>
      </w:r>
    </w:p>
    <w:tbl>
      <w:tblPr>
        <w:tblStyle w:val="7"/>
        <w:tblW w:w="8517" w:type="dxa"/>
        <w:tblCellSpacing w:w="0" w:type="dxa"/>
        <w:tblInd w:w="10" w:type="dxa"/>
        <w:tblLayout w:type="fixed"/>
        <w:tblCellMar>
          <w:top w:w="0" w:type="dxa"/>
          <w:left w:w="108" w:type="dxa"/>
          <w:bottom w:w="0" w:type="dxa"/>
          <w:right w:w="108" w:type="dxa"/>
        </w:tblCellMar>
      </w:tblPr>
      <w:tblGrid>
        <w:gridCol w:w="546"/>
        <w:gridCol w:w="996"/>
        <w:gridCol w:w="905"/>
        <w:gridCol w:w="1298"/>
        <w:gridCol w:w="746"/>
        <w:gridCol w:w="918"/>
        <w:gridCol w:w="696"/>
        <w:gridCol w:w="1261"/>
        <w:gridCol w:w="1151"/>
      </w:tblGrid>
      <w:tr w14:paraId="0C3D72D6">
        <w:tblPrEx>
          <w:tblCellMar>
            <w:top w:w="0" w:type="dxa"/>
            <w:left w:w="108" w:type="dxa"/>
            <w:bottom w:w="0" w:type="dxa"/>
            <w:right w:w="108" w:type="dxa"/>
          </w:tblCellMar>
        </w:tblPrEx>
        <w:trPr>
          <w:trHeight w:val="54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0C90">
            <w:pPr>
              <w:pStyle w:val="6"/>
              <w:spacing w:beforeAutospacing="0" w:afterAutospacing="0" w:line="0" w:lineRule="atLeast"/>
              <w:jc w:val="center"/>
            </w:pPr>
            <w:r>
              <w:rPr>
                <w:rFonts w:hint="eastAsia" w:ascii="宋体" w:hAnsi="宋体" w:eastAsia="宋体" w:cs="宋体"/>
                <w:color w:val="FF0000"/>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1599">
            <w:pPr>
              <w:pStyle w:val="6"/>
              <w:spacing w:beforeAutospacing="0" w:afterAutospacing="0" w:line="0" w:lineRule="atLeast"/>
              <w:jc w:val="center"/>
            </w:pPr>
            <w:r>
              <w:rPr>
                <w:rFonts w:hint="eastAsia" w:ascii="宋体" w:hAnsi="宋体" w:eastAsia="宋体" w:cs="宋体"/>
                <w:color w:val="FF0000"/>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07304">
            <w:pPr>
              <w:pStyle w:val="6"/>
              <w:spacing w:beforeAutospacing="0" w:afterAutospacing="0" w:line="0" w:lineRule="atLeast"/>
              <w:jc w:val="center"/>
            </w:pPr>
            <w:r>
              <w:rPr>
                <w:rFonts w:hint="eastAsia" w:ascii="宋体" w:hAnsi="宋体" w:eastAsia="宋体" w:cs="宋体"/>
                <w:color w:val="FF0000"/>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C41E">
            <w:pPr>
              <w:pStyle w:val="6"/>
              <w:spacing w:beforeAutospacing="0" w:afterAutospacing="0" w:line="0" w:lineRule="atLeast"/>
              <w:jc w:val="center"/>
            </w:pPr>
            <w:r>
              <w:rPr>
                <w:rFonts w:hint="eastAsia" w:ascii="宋体" w:hAnsi="宋体" w:eastAsia="宋体" w:cs="宋体"/>
                <w:color w:val="FF0000"/>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299D">
            <w:pPr>
              <w:pStyle w:val="6"/>
              <w:spacing w:beforeAutospacing="0" w:afterAutospacing="0" w:line="0" w:lineRule="atLeast"/>
              <w:jc w:val="center"/>
            </w:pPr>
            <w:r>
              <w:rPr>
                <w:rFonts w:hint="eastAsia" w:ascii="宋体" w:hAnsi="宋体" w:eastAsia="宋体" w:cs="宋体"/>
                <w:color w:val="FF0000"/>
              </w:rPr>
              <w:t>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E39C">
            <w:pPr>
              <w:pStyle w:val="6"/>
              <w:spacing w:beforeAutospacing="0" w:afterAutospacing="0" w:line="0" w:lineRule="atLeast"/>
              <w:jc w:val="center"/>
            </w:pPr>
            <w:r>
              <w:rPr>
                <w:rFonts w:hint="eastAsia" w:ascii="宋体" w:hAnsi="宋体" w:eastAsia="宋体" w:cs="宋体"/>
                <w:color w:val="FF0000"/>
              </w:rPr>
              <w:t>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369F">
            <w:pPr>
              <w:pStyle w:val="6"/>
              <w:spacing w:beforeAutospacing="0" w:afterAutospacing="0" w:line="0" w:lineRule="atLeast"/>
              <w:jc w:val="center"/>
            </w:pPr>
            <w:r>
              <w:rPr>
                <w:rFonts w:hint="eastAsia" w:ascii="宋体" w:hAnsi="宋体" w:eastAsia="宋体" w:cs="宋体"/>
                <w:color w:val="FF0000"/>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FB36">
            <w:pPr>
              <w:pStyle w:val="6"/>
              <w:spacing w:beforeAutospacing="0" w:afterAutospacing="0" w:line="0" w:lineRule="atLeast"/>
              <w:jc w:val="center"/>
            </w:pPr>
            <w:r>
              <w:rPr>
                <w:rFonts w:hint="eastAsia" w:ascii="宋体" w:hAnsi="宋体" w:eastAsia="宋体" w:cs="宋体"/>
                <w:color w:val="FF0000"/>
              </w:rPr>
              <w:t>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E2B06">
            <w:pPr>
              <w:pStyle w:val="6"/>
              <w:spacing w:beforeAutospacing="0" w:afterAutospacing="0" w:line="0" w:lineRule="atLeast"/>
              <w:jc w:val="center"/>
            </w:pPr>
            <w:r>
              <w:rPr>
                <w:rFonts w:hint="eastAsia" w:ascii="宋体" w:hAnsi="宋体" w:eastAsia="宋体" w:cs="宋体"/>
                <w:color w:val="FF0000"/>
              </w:rPr>
              <w:t>8</w:t>
            </w:r>
          </w:p>
        </w:tc>
      </w:tr>
      <w:tr w14:paraId="01E2CB19">
        <w:tblPrEx>
          <w:tblCellMar>
            <w:top w:w="0" w:type="dxa"/>
            <w:left w:w="108" w:type="dxa"/>
            <w:bottom w:w="0" w:type="dxa"/>
            <w:right w:w="108" w:type="dxa"/>
          </w:tblCellMar>
        </w:tblPrEx>
        <w:trPr>
          <w:trHeight w:val="29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3690">
            <w:pPr>
              <w:pStyle w:val="6"/>
              <w:spacing w:beforeAutospacing="0" w:afterAutospacing="0" w:line="0" w:lineRule="atLeast"/>
              <w:jc w:val="center"/>
            </w:pPr>
            <w:r>
              <w:rPr>
                <w:rFonts w:hint="eastAsia" w:ascii="宋体" w:hAnsi="宋体" w:eastAsia="宋体" w:cs="宋体"/>
                <w:color w:val="FF0000"/>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7A369">
            <w:pPr>
              <w:pStyle w:val="6"/>
              <w:spacing w:beforeAutospacing="0" w:afterAutospacing="0" w:line="0" w:lineRule="atLeast"/>
              <w:jc w:val="center"/>
            </w:pPr>
            <w:r>
              <w:rPr>
                <w:rFonts w:hint="eastAsia" w:ascii="宋体" w:hAnsi="宋体" w:eastAsia="宋体" w:cs="宋体"/>
                <w:color w:val="FF0000"/>
              </w:rPr>
              <w:t>产品</w:t>
            </w:r>
          </w:p>
          <w:p w14:paraId="5AE5BBF7">
            <w:pPr>
              <w:pStyle w:val="6"/>
              <w:spacing w:beforeAutospacing="0" w:afterAutospacing="0" w:line="0" w:lineRule="atLeast"/>
              <w:jc w:val="center"/>
            </w:pPr>
            <w:r>
              <w:rPr>
                <w:rFonts w:hint="eastAsia" w:ascii="宋体" w:hAnsi="宋体" w:eastAsia="宋体" w:cs="宋体"/>
                <w:color w:val="FF0000"/>
              </w:rPr>
              <w:t>名称</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7316C">
            <w:pPr>
              <w:pStyle w:val="6"/>
              <w:spacing w:beforeAutospacing="0" w:afterAutospacing="0" w:line="0" w:lineRule="atLeast"/>
              <w:jc w:val="center"/>
            </w:pPr>
            <w:r>
              <w:rPr>
                <w:rFonts w:hint="eastAsia" w:ascii="宋体" w:hAnsi="宋体" w:eastAsia="宋体" w:cs="宋体"/>
                <w:color w:val="FF0000"/>
              </w:rPr>
              <w:t>品牌</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9271">
            <w:pPr>
              <w:pStyle w:val="6"/>
              <w:spacing w:beforeAutospacing="0" w:afterAutospacing="0" w:line="0" w:lineRule="atLeast"/>
              <w:jc w:val="center"/>
            </w:pPr>
            <w:r>
              <w:rPr>
                <w:rFonts w:hint="eastAsia" w:ascii="宋体" w:hAnsi="宋体" w:eastAsia="宋体" w:cs="宋体"/>
                <w:color w:val="FF0000"/>
              </w:rPr>
              <w:t>规格</w:t>
            </w:r>
          </w:p>
          <w:p w14:paraId="1CC2D700">
            <w:pPr>
              <w:pStyle w:val="6"/>
              <w:spacing w:beforeAutospacing="0" w:afterAutospacing="0" w:line="0" w:lineRule="atLeast"/>
              <w:jc w:val="center"/>
            </w:pPr>
            <w:r>
              <w:rPr>
                <w:rFonts w:hint="eastAsia" w:ascii="宋体" w:hAnsi="宋体" w:eastAsia="宋体" w:cs="宋体"/>
                <w:color w:val="FF0000"/>
              </w:rPr>
              <w:t>型号</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6D41">
            <w:pPr>
              <w:pStyle w:val="6"/>
              <w:spacing w:beforeAutospacing="0" w:afterAutospacing="0" w:line="0" w:lineRule="atLeast"/>
              <w:jc w:val="center"/>
            </w:pPr>
            <w:r>
              <w:rPr>
                <w:rFonts w:hint="eastAsia" w:ascii="宋体" w:hAnsi="宋体" w:eastAsia="宋体" w:cs="宋体"/>
                <w:color w:val="FF0000"/>
              </w:rPr>
              <w:t>产地</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8D68">
            <w:pPr>
              <w:pStyle w:val="6"/>
              <w:spacing w:beforeAutospacing="0" w:afterAutospacing="0" w:line="0" w:lineRule="atLeast"/>
              <w:jc w:val="center"/>
            </w:pPr>
            <w:r>
              <w:rPr>
                <w:rFonts w:hint="eastAsia" w:ascii="宋体" w:hAnsi="宋体" w:eastAsia="宋体" w:cs="宋体"/>
                <w:color w:val="FF0000"/>
              </w:rPr>
              <w:t>交付期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C87B">
            <w:pPr>
              <w:pStyle w:val="6"/>
              <w:spacing w:beforeAutospacing="0" w:afterAutospacing="0" w:line="0" w:lineRule="atLeast"/>
              <w:jc w:val="center"/>
            </w:pPr>
            <w:r>
              <w:rPr>
                <w:rFonts w:hint="eastAsia" w:ascii="宋体" w:hAnsi="宋体" w:eastAsia="宋体" w:cs="宋体"/>
                <w:color w:val="FF0000"/>
              </w:rPr>
              <w:t>数量</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9117">
            <w:pPr>
              <w:pStyle w:val="6"/>
              <w:spacing w:beforeAutospacing="0" w:afterAutospacing="0" w:line="0" w:lineRule="atLeast"/>
              <w:jc w:val="center"/>
            </w:pPr>
            <w:r>
              <w:rPr>
                <w:rFonts w:hint="eastAsia" w:ascii="宋体" w:hAnsi="宋体" w:eastAsia="宋体" w:cs="宋体"/>
                <w:color w:val="FF0000"/>
              </w:rPr>
              <w:t>分项单价</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16C4D">
            <w:pPr>
              <w:pStyle w:val="6"/>
              <w:spacing w:beforeAutospacing="0" w:afterAutospacing="0" w:line="0" w:lineRule="atLeast"/>
              <w:jc w:val="center"/>
            </w:pPr>
            <w:r>
              <w:rPr>
                <w:rFonts w:hint="eastAsia" w:ascii="宋体" w:hAnsi="宋体" w:eastAsia="宋体" w:cs="宋体"/>
                <w:color w:val="FF0000"/>
              </w:rPr>
              <w:t>分项总价</w:t>
            </w:r>
          </w:p>
        </w:tc>
      </w:tr>
      <w:tr w14:paraId="1ACCEC6A">
        <w:tblPrEx>
          <w:tblCellMar>
            <w:top w:w="0" w:type="dxa"/>
            <w:left w:w="108" w:type="dxa"/>
            <w:bottom w:w="0" w:type="dxa"/>
            <w:right w:w="108" w:type="dxa"/>
          </w:tblCellMar>
        </w:tblPrEx>
        <w:trPr>
          <w:trHeight w:val="696"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1BD1D">
            <w:pPr>
              <w:pStyle w:val="6"/>
              <w:spacing w:beforeAutospacing="0" w:afterAutospacing="0" w:line="0" w:lineRule="atLeast"/>
              <w:jc w:val="center"/>
            </w:pPr>
            <w:r>
              <w:rPr>
                <w:rFonts w:hint="eastAsia" w:ascii="宋体" w:hAnsi="宋体" w:eastAsia="宋体" w:cs="宋体"/>
                <w:color w:val="FF0000"/>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E9FE">
            <w:pPr>
              <w:pStyle w:val="6"/>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07345">
            <w:pPr>
              <w:pStyle w:val="6"/>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715C">
            <w:pPr>
              <w:pStyle w:val="6"/>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477F">
            <w:pPr>
              <w:pStyle w:val="6"/>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0351">
            <w:pPr>
              <w:pStyle w:val="6"/>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77EA">
            <w:pPr>
              <w:pStyle w:val="6"/>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C7C7E">
            <w:pPr>
              <w:pStyle w:val="6"/>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90D12">
            <w:pPr>
              <w:pStyle w:val="6"/>
              <w:spacing w:beforeAutospacing="0" w:afterAutospacing="0" w:line="0" w:lineRule="atLeast"/>
              <w:jc w:val="both"/>
            </w:pPr>
            <w:r>
              <w:t> </w:t>
            </w:r>
          </w:p>
        </w:tc>
      </w:tr>
      <w:tr w14:paraId="7FDB6E4E">
        <w:tblPrEx>
          <w:tblCellMar>
            <w:top w:w="0" w:type="dxa"/>
            <w:left w:w="108" w:type="dxa"/>
            <w:bottom w:w="0" w:type="dxa"/>
            <w:right w:w="108" w:type="dxa"/>
          </w:tblCellMar>
        </w:tblPrEx>
        <w:trPr>
          <w:trHeight w:val="72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5502">
            <w:pPr>
              <w:pStyle w:val="6"/>
              <w:spacing w:beforeAutospacing="0" w:afterAutospacing="0" w:line="0" w:lineRule="atLeast"/>
              <w:jc w:val="center"/>
            </w:pPr>
            <w:r>
              <w:rPr>
                <w:rFonts w:hint="eastAsia" w:ascii="宋体" w:hAnsi="宋体" w:eastAsia="宋体" w:cs="宋体"/>
                <w:color w:val="FF0000"/>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064A2">
            <w:pPr>
              <w:pStyle w:val="6"/>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FDD5">
            <w:pPr>
              <w:pStyle w:val="6"/>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8A11">
            <w:pPr>
              <w:pStyle w:val="6"/>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759A0">
            <w:pPr>
              <w:pStyle w:val="6"/>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98C0">
            <w:pPr>
              <w:pStyle w:val="6"/>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7FC97">
            <w:pPr>
              <w:pStyle w:val="6"/>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F76C">
            <w:pPr>
              <w:pStyle w:val="6"/>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0EEF">
            <w:pPr>
              <w:pStyle w:val="6"/>
              <w:spacing w:beforeAutospacing="0" w:afterAutospacing="0" w:line="0" w:lineRule="atLeast"/>
              <w:jc w:val="both"/>
            </w:pPr>
            <w:r>
              <w:t> </w:t>
            </w:r>
          </w:p>
        </w:tc>
      </w:tr>
      <w:tr w14:paraId="0C6A95D8">
        <w:tblPrEx>
          <w:tblCellMar>
            <w:top w:w="0" w:type="dxa"/>
            <w:left w:w="108" w:type="dxa"/>
            <w:bottom w:w="0" w:type="dxa"/>
            <w:right w:w="108" w:type="dxa"/>
          </w:tblCellMar>
        </w:tblPrEx>
        <w:trPr>
          <w:trHeight w:val="64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E342">
            <w:pPr>
              <w:pStyle w:val="6"/>
              <w:spacing w:beforeAutospacing="0" w:afterAutospacing="0" w:line="0" w:lineRule="atLeast"/>
              <w:jc w:val="center"/>
            </w:pPr>
            <w:r>
              <w:rPr>
                <w:rFonts w:hint="eastAsia" w:ascii="宋体" w:hAnsi="宋体" w:eastAsia="宋体" w:cs="宋体"/>
                <w:color w:val="FF0000"/>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B6CCB">
            <w:pPr>
              <w:pStyle w:val="6"/>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FFCB">
            <w:pPr>
              <w:pStyle w:val="6"/>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343B">
            <w:pPr>
              <w:pStyle w:val="6"/>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A832">
            <w:pPr>
              <w:pStyle w:val="6"/>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5889">
            <w:pPr>
              <w:pStyle w:val="6"/>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C9C9">
            <w:pPr>
              <w:pStyle w:val="6"/>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6737F">
            <w:pPr>
              <w:pStyle w:val="6"/>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84A05">
            <w:pPr>
              <w:pStyle w:val="6"/>
              <w:spacing w:beforeAutospacing="0" w:afterAutospacing="0" w:line="0" w:lineRule="atLeast"/>
              <w:jc w:val="both"/>
            </w:pPr>
            <w:r>
              <w:t> </w:t>
            </w:r>
          </w:p>
        </w:tc>
      </w:tr>
      <w:tr w14:paraId="754813A6">
        <w:tblPrEx>
          <w:tblCellMar>
            <w:top w:w="0" w:type="dxa"/>
            <w:left w:w="108" w:type="dxa"/>
            <w:bottom w:w="0" w:type="dxa"/>
            <w:right w:w="108" w:type="dxa"/>
          </w:tblCellMar>
        </w:tblPrEx>
        <w:trPr>
          <w:trHeight w:val="58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2414D">
            <w:pPr>
              <w:pStyle w:val="6"/>
              <w:spacing w:beforeAutospacing="0" w:afterAutospacing="0" w:line="0" w:lineRule="atLeast"/>
              <w:jc w:val="center"/>
            </w:pPr>
            <w:r>
              <w:rPr>
                <w:rFonts w:hint="eastAsia" w:ascii="宋体" w:hAnsi="宋体" w:eastAsia="宋体" w:cs="宋体"/>
                <w:color w:val="FF0000"/>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5A15">
            <w:pPr>
              <w:pStyle w:val="6"/>
              <w:spacing w:beforeAutospacing="0" w:afterAutospacing="0" w:line="0" w:lineRule="atLeast"/>
              <w:jc w:val="both"/>
            </w:pPr>
            <w:r>
              <w:rPr>
                <w:rFonts w:hint="eastAsia" w:ascii="宋体" w:hAnsi="宋体" w:eastAsia="宋体" w:cs="宋体"/>
                <w:color w:val="FF0000"/>
              </w:rPr>
              <w:t>……</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1F2D">
            <w:pPr>
              <w:pStyle w:val="6"/>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9648">
            <w:pPr>
              <w:pStyle w:val="6"/>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488C">
            <w:pPr>
              <w:pStyle w:val="6"/>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8EEF3">
            <w:pPr>
              <w:pStyle w:val="6"/>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B71D">
            <w:pPr>
              <w:pStyle w:val="6"/>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4FC8">
            <w:pPr>
              <w:pStyle w:val="6"/>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EC97">
            <w:pPr>
              <w:pStyle w:val="6"/>
              <w:spacing w:beforeAutospacing="0" w:afterAutospacing="0" w:line="0" w:lineRule="atLeast"/>
              <w:jc w:val="both"/>
            </w:pPr>
            <w:r>
              <w:t> </w:t>
            </w:r>
          </w:p>
        </w:tc>
      </w:tr>
      <w:tr w14:paraId="1A8229C3">
        <w:tblPrEx>
          <w:tblCellMar>
            <w:top w:w="0" w:type="dxa"/>
            <w:left w:w="108" w:type="dxa"/>
            <w:bottom w:w="0" w:type="dxa"/>
            <w:right w:w="108" w:type="dxa"/>
          </w:tblCellMar>
        </w:tblPrEx>
        <w:trPr>
          <w:trHeight w:val="1030" w:hRule="atLeast"/>
          <w:tblCellSpacing w:w="0" w:type="dxa"/>
        </w:trPr>
        <w:tc>
          <w:tcPr>
            <w:tcW w:w="7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488769E">
            <w:pPr>
              <w:pStyle w:val="6"/>
              <w:spacing w:beforeAutospacing="0" w:afterAutospacing="0" w:line="0" w:lineRule="atLeast"/>
              <w:jc w:val="center"/>
            </w:pPr>
            <w:r>
              <w:rPr>
                <w:rFonts w:hint="eastAsia" w:ascii="宋体" w:hAnsi="宋体" w:eastAsia="宋体" w:cs="宋体"/>
                <w:color w:val="FF0000"/>
              </w:rPr>
              <w:t>总报价（人民币：元）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7AC1">
            <w:pPr>
              <w:pStyle w:val="6"/>
              <w:spacing w:beforeAutospacing="0" w:afterAutospacing="0" w:line="0" w:lineRule="atLeast"/>
              <w:jc w:val="both"/>
            </w:pPr>
            <w:r>
              <w:t> </w:t>
            </w:r>
          </w:p>
        </w:tc>
      </w:tr>
    </w:tbl>
    <w:p w14:paraId="2363FCB0">
      <w:pPr>
        <w:pStyle w:val="6"/>
        <w:spacing w:beforeAutospacing="0" w:afterAutospacing="0"/>
        <w:jc w:val="both"/>
      </w:pPr>
      <w:r>
        <w:t> </w:t>
      </w:r>
    </w:p>
    <w:p w14:paraId="53548050">
      <w:pPr>
        <w:pStyle w:val="6"/>
        <w:spacing w:beforeAutospacing="0" w:afterAutospacing="0"/>
        <w:jc w:val="both"/>
      </w:pPr>
      <w:r>
        <w:rPr>
          <w:rFonts w:hint="eastAsia" w:ascii="宋体" w:hAnsi="宋体" w:eastAsia="宋体" w:cs="宋体"/>
          <w:color w:val="FF0000"/>
        </w:rPr>
        <w:t>备注：谈判报价采用总承包方式，供应商的“总报价”应包括所投产品费用、安装调试费、测试验收费、培训费、运行维护费用、税金、国际国内运输保险、报关清关、开证、办理全套免税手续费用及其他有关的为完成本项目发生的所有费用，谈判文件中另有规定的除外。</w:t>
      </w:r>
    </w:p>
    <w:p w14:paraId="40B0A2E4">
      <w:pPr>
        <w:pStyle w:val="6"/>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备注：该表仅适用于项目采用货币报价的情形。项目采用折扣率报价的，请项目经办人自行设计表格。项目经办人也可根据项目实际情况对该表进行重新设计。谈判文件定稿后该备注删除。</w:t>
      </w:r>
    </w:p>
    <w:p w14:paraId="46B53287">
      <w:pPr>
        <w:pStyle w:val="6"/>
        <w:spacing w:beforeAutospacing="0" w:afterAutospacing="0"/>
        <w:jc w:val="both"/>
      </w:pPr>
      <w:r>
        <w:t> </w:t>
      </w:r>
    </w:p>
    <w:p w14:paraId="564E4E6E">
      <w:pPr>
        <w:pStyle w:val="6"/>
        <w:spacing w:beforeAutospacing="0" w:afterAutospacing="0"/>
        <w:jc w:val="both"/>
      </w:pPr>
      <w:r>
        <w:t> </w:t>
      </w:r>
    </w:p>
    <w:p w14:paraId="298F988C">
      <w:pPr>
        <w:pStyle w:val="6"/>
        <w:spacing w:beforeAutospacing="0" w:afterAutospacing="0"/>
        <w:jc w:val="both"/>
      </w:pPr>
      <w:r>
        <w:t> </w:t>
      </w:r>
    </w:p>
    <w:p w14:paraId="4CA41EC5">
      <w:pPr>
        <w:pStyle w:val="6"/>
        <w:spacing w:beforeAutospacing="0" w:afterAutospacing="0"/>
        <w:jc w:val="both"/>
      </w:pPr>
      <w:r>
        <w:t> </w:t>
      </w:r>
    </w:p>
    <w:p w14:paraId="38646341">
      <w:pPr>
        <w:pStyle w:val="6"/>
        <w:spacing w:beforeAutospacing="0" w:afterAutospacing="0"/>
        <w:jc w:val="both"/>
      </w:pPr>
      <w:r>
        <w:t> </w:t>
      </w:r>
    </w:p>
    <w:p w14:paraId="557D37E6">
      <w:pPr>
        <w:pStyle w:val="6"/>
        <w:spacing w:beforeAutospacing="0" w:afterAutospacing="0"/>
        <w:jc w:val="both"/>
      </w:pPr>
      <w:r>
        <w:t> </w:t>
      </w:r>
    </w:p>
    <w:p w14:paraId="751BFA92">
      <w:pPr>
        <w:pStyle w:val="6"/>
        <w:spacing w:beforeAutospacing="0" w:afterAutospacing="0"/>
        <w:jc w:val="center"/>
      </w:pPr>
      <w:r>
        <w:rPr>
          <w:rFonts w:hint="eastAsia" w:ascii="黑体" w:hAnsi="宋体" w:eastAsia="黑体" w:cs="黑体"/>
          <w:b/>
          <w:color w:val="FF0000"/>
          <w:sz w:val="32"/>
          <w:szCs w:val="32"/>
        </w:rPr>
        <w:t>十二、分项报价表（分包号：**）（服务类）</w:t>
      </w:r>
    </w:p>
    <w:tbl>
      <w:tblPr>
        <w:tblStyle w:val="7"/>
        <w:tblW w:w="8518" w:type="dxa"/>
        <w:tblCellSpacing w:w="0" w:type="dxa"/>
        <w:tblInd w:w="10" w:type="dxa"/>
        <w:tblLayout w:type="fixed"/>
        <w:tblCellMar>
          <w:top w:w="0" w:type="dxa"/>
          <w:left w:w="108" w:type="dxa"/>
          <w:bottom w:w="0" w:type="dxa"/>
          <w:right w:w="108" w:type="dxa"/>
        </w:tblCellMar>
      </w:tblPr>
      <w:tblGrid>
        <w:gridCol w:w="924"/>
        <w:gridCol w:w="1217"/>
        <w:gridCol w:w="1205"/>
        <w:gridCol w:w="878"/>
        <w:gridCol w:w="1129"/>
        <w:gridCol w:w="1502"/>
        <w:gridCol w:w="1663"/>
      </w:tblGrid>
      <w:tr w14:paraId="1E884964">
        <w:tblPrEx>
          <w:tblCellMar>
            <w:top w:w="0" w:type="dxa"/>
            <w:left w:w="108" w:type="dxa"/>
            <w:bottom w:w="0" w:type="dxa"/>
            <w:right w:w="108" w:type="dxa"/>
          </w:tblCellMar>
        </w:tblPrEx>
        <w:trPr>
          <w:trHeight w:val="544" w:hRule="atLeast"/>
          <w:tblCellSpacing w:w="0" w:type="dxa"/>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C589A">
            <w:pPr>
              <w:pStyle w:val="6"/>
              <w:spacing w:beforeAutospacing="0" w:afterAutospacing="0" w:line="0" w:lineRule="atLeast"/>
              <w:jc w:val="center"/>
            </w:pPr>
            <w:r>
              <w:rPr>
                <w:rFonts w:hint="eastAsia" w:ascii="宋体" w:hAnsi="宋体" w:eastAsia="宋体" w:cs="宋体"/>
                <w:color w:val="FF0000"/>
              </w:rPr>
              <w:t>序号</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189C9">
            <w:pPr>
              <w:pStyle w:val="6"/>
              <w:spacing w:beforeAutospacing="0" w:afterAutospacing="0" w:line="0" w:lineRule="atLeast"/>
              <w:jc w:val="center"/>
            </w:pPr>
            <w:r>
              <w:rPr>
                <w:rFonts w:hint="eastAsia" w:ascii="宋体" w:hAnsi="宋体" w:eastAsia="宋体" w:cs="宋体"/>
                <w:color w:val="FF0000"/>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E18BE">
            <w:pPr>
              <w:pStyle w:val="6"/>
              <w:spacing w:beforeAutospacing="0" w:afterAutospacing="0" w:line="0" w:lineRule="atLeast"/>
              <w:jc w:val="center"/>
            </w:pPr>
            <w:r>
              <w:rPr>
                <w:rFonts w:hint="eastAsia" w:ascii="宋体" w:hAnsi="宋体" w:eastAsia="宋体" w:cs="宋体"/>
                <w:color w:val="FF0000"/>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5B5A3">
            <w:pPr>
              <w:pStyle w:val="6"/>
              <w:spacing w:beforeAutospacing="0" w:afterAutospacing="0" w:line="0" w:lineRule="atLeast"/>
              <w:jc w:val="center"/>
            </w:pPr>
            <w:r>
              <w:rPr>
                <w:rFonts w:hint="eastAsia" w:ascii="宋体" w:hAnsi="宋体" w:eastAsia="宋体" w:cs="宋体"/>
                <w:color w:val="FF0000"/>
              </w:rPr>
              <w:t>3</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0198A">
            <w:pPr>
              <w:pStyle w:val="6"/>
              <w:spacing w:beforeAutospacing="0" w:afterAutospacing="0" w:line="0" w:lineRule="atLeast"/>
              <w:jc w:val="center"/>
            </w:pPr>
            <w:r>
              <w:rPr>
                <w:rFonts w:hint="eastAsia" w:ascii="宋体" w:hAnsi="宋体" w:eastAsia="宋体" w:cs="宋体"/>
                <w:color w:val="FF0000"/>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9F94">
            <w:pPr>
              <w:pStyle w:val="6"/>
              <w:spacing w:beforeAutospacing="0" w:afterAutospacing="0" w:line="0" w:lineRule="atLeast"/>
              <w:jc w:val="center"/>
            </w:pPr>
            <w:r>
              <w:rPr>
                <w:rFonts w:hint="eastAsia" w:ascii="宋体" w:hAnsi="宋体" w:eastAsia="宋体" w:cs="宋体"/>
                <w:color w:val="FF0000"/>
              </w:rPr>
              <w:t>5</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5F36">
            <w:pPr>
              <w:pStyle w:val="6"/>
              <w:spacing w:beforeAutospacing="0" w:afterAutospacing="0" w:line="0" w:lineRule="atLeast"/>
              <w:jc w:val="center"/>
            </w:pPr>
            <w:r>
              <w:rPr>
                <w:rFonts w:hint="eastAsia" w:ascii="宋体" w:hAnsi="宋体" w:eastAsia="宋体" w:cs="宋体"/>
                <w:color w:val="FF0000"/>
              </w:rPr>
              <w:t>6</w:t>
            </w:r>
          </w:p>
        </w:tc>
      </w:tr>
      <w:tr w14:paraId="273A101B">
        <w:tblPrEx>
          <w:tblCellMar>
            <w:top w:w="0" w:type="dxa"/>
            <w:left w:w="108" w:type="dxa"/>
            <w:bottom w:w="0" w:type="dxa"/>
            <w:right w:w="108" w:type="dxa"/>
          </w:tblCellMar>
        </w:tblPrEx>
        <w:trPr>
          <w:trHeight w:val="294" w:hRule="atLeast"/>
          <w:tblCellSpacing w:w="0" w:type="dxa"/>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31380">
            <w:pPr>
              <w:rPr>
                <w:rFonts w:ascii="宋体"/>
                <w:sz w:val="24"/>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8AA50">
            <w:pPr>
              <w:pStyle w:val="6"/>
              <w:spacing w:beforeAutospacing="0" w:afterAutospacing="0" w:line="0" w:lineRule="atLeast"/>
              <w:jc w:val="center"/>
            </w:pPr>
            <w:r>
              <w:rPr>
                <w:rFonts w:hint="eastAsia" w:ascii="宋体" w:hAnsi="宋体" w:eastAsia="宋体" w:cs="宋体"/>
                <w:color w:val="FF0000"/>
              </w:rPr>
              <w:t>分项服务名称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C6E0">
            <w:pPr>
              <w:pStyle w:val="6"/>
              <w:spacing w:beforeAutospacing="0" w:afterAutospacing="0" w:line="0" w:lineRule="atLeast"/>
              <w:jc w:val="center"/>
            </w:pPr>
            <w:r>
              <w:rPr>
                <w:rFonts w:hint="eastAsia" w:ascii="宋体" w:hAnsi="宋体" w:eastAsia="宋体" w:cs="宋体"/>
                <w:color w:val="FF0000"/>
              </w:rPr>
              <w:t>交付期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1CD29">
            <w:pPr>
              <w:pStyle w:val="6"/>
              <w:spacing w:beforeAutospacing="0" w:afterAutospacing="0" w:line="0" w:lineRule="atLeast"/>
              <w:jc w:val="center"/>
            </w:pPr>
            <w:r>
              <w:rPr>
                <w:rFonts w:hint="eastAsia" w:ascii="宋体" w:hAnsi="宋体" w:eastAsia="宋体" w:cs="宋体"/>
                <w:color w:val="FF0000"/>
              </w:rPr>
              <w:t>分项单位</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CE4AC">
            <w:pPr>
              <w:pStyle w:val="6"/>
              <w:spacing w:beforeAutospacing="0" w:afterAutospacing="0" w:line="0" w:lineRule="atLeast"/>
              <w:jc w:val="center"/>
            </w:pPr>
            <w:r>
              <w:rPr>
                <w:rFonts w:hint="eastAsia" w:ascii="宋体" w:hAnsi="宋体" w:eastAsia="宋体" w:cs="宋体"/>
                <w:color w:val="FF0000"/>
              </w:rPr>
              <w:t>数量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13DA">
            <w:pPr>
              <w:pStyle w:val="6"/>
              <w:spacing w:beforeAutospacing="0" w:afterAutospacing="0" w:line="0" w:lineRule="atLeast"/>
              <w:jc w:val="center"/>
            </w:pPr>
            <w:r>
              <w:rPr>
                <w:rFonts w:hint="eastAsia" w:ascii="宋体" w:hAnsi="宋体" w:eastAsia="宋体" w:cs="宋体"/>
                <w:color w:val="FF0000"/>
              </w:rPr>
              <w:t>分项</w:t>
            </w:r>
          </w:p>
          <w:p w14:paraId="3EB4BF23">
            <w:pPr>
              <w:pStyle w:val="6"/>
              <w:spacing w:beforeAutospacing="0" w:afterAutospacing="0" w:line="0" w:lineRule="atLeast"/>
              <w:jc w:val="center"/>
            </w:pPr>
            <w:r>
              <w:rPr>
                <w:rFonts w:hint="eastAsia" w:ascii="宋体" w:hAnsi="宋体" w:eastAsia="宋体" w:cs="宋体"/>
                <w:color w:val="FF0000"/>
              </w:rPr>
              <w:t>单价</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CE5D">
            <w:pPr>
              <w:pStyle w:val="6"/>
              <w:spacing w:beforeAutospacing="0" w:afterAutospacing="0" w:line="0" w:lineRule="atLeast"/>
              <w:jc w:val="center"/>
            </w:pPr>
            <w:r>
              <w:rPr>
                <w:rFonts w:hint="eastAsia" w:ascii="宋体" w:hAnsi="宋体" w:eastAsia="宋体" w:cs="宋体"/>
                <w:color w:val="FF0000"/>
              </w:rPr>
              <w:t>分项</w:t>
            </w:r>
          </w:p>
          <w:p w14:paraId="62FD5237">
            <w:pPr>
              <w:pStyle w:val="6"/>
              <w:spacing w:beforeAutospacing="0" w:afterAutospacing="0" w:line="0" w:lineRule="atLeast"/>
              <w:jc w:val="center"/>
            </w:pPr>
            <w:r>
              <w:rPr>
                <w:rFonts w:hint="eastAsia" w:ascii="宋体" w:hAnsi="宋体" w:eastAsia="宋体" w:cs="宋体"/>
                <w:color w:val="FF0000"/>
              </w:rPr>
              <w:t>总价</w:t>
            </w:r>
          </w:p>
        </w:tc>
      </w:tr>
      <w:tr w14:paraId="59422FE2">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0605">
            <w:pPr>
              <w:pStyle w:val="6"/>
              <w:spacing w:beforeAutospacing="0" w:afterAutospacing="0" w:line="0" w:lineRule="atLeast"/>
              <w:jc w:val="center"/>
            </w:pPr>
            <w:r>
              <w:rPr>
                <w:rFonts w:hint="eastAsia" w:ascii="宋体" w:hAnsi="宋体" w:eastAsia="宋体" w:cs="宋体"/>
                <w:color w:val="FF0000"/>
              </w:rPr>
              <w:t>1</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0B91">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24DF">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C04D">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9A2F3">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CF30">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797C">
            <w:pPr>
              <w:pStyle w:val="6"/>
              <w:spacing w:beforeAutospacing="0" w:afterAutospacing="0" w:line="0" w:lineRule="atLeast"/>
              <w:jc w:val="center"/>
            </w:pPr>
            <w:r>
              <w:t> </w:t>
            </w:r>
          </w:p>
        </w:tc>
      </w:tr>
      <w:tr w14:paraId="61D53852">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68E46">
            <w:pPr>
              <w:pStyle w:val="6"/>
              <w:spacing w:beforeAutospacing="0" w:afterAutospacing="0" w:line="0" w:lineRule="atLeast"/>
              <w:jc w:val="center"/>
            </w:pPr>
            <w:r>
              <w:rPr>
                <w:rFonts w:hint="eastAsia" w:ascii="宋体" w:hAnsi="宋体" w:eastAsia="宋体" w:cs="宋体"/>
                <w:color w:val="FF0000"/>
              </w:rPr>
              <w:t>2</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EF6E2">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545E2">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2101">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8681">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9014">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4EA73">
            <w:pPr>
              <w:pStyle w:val="6"/>
              <w:spacing w:beforeAutospacing="0" w:afterAutospacing="0" w:line="0" w:lineRule="atLeast"/>
              <w:jc w:val="center"/>
            </w:pPr>
            <w:r>
              <w:t> </w:t>
            </w:r>
          </w:p>
        </w:tc>
      </w:tr>
      <w:tr w14:paraId="305EEBC1">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4D06">
            <w:pPr>
              <w:pStyle w:val="6"/>
              <w:spacing w:beforeAutospacing="0" w:afterAutospacing="0" w:line="0" w:lineRule="atLeast"/>
              <w:jc w:val="center"/>
            </w:pPr>
            <w:r>
              <w:rPr>
                <w:rFonts w:hint="eastAsia" w:ascii="宋体" w:hAnsi="宋体" w:eastAsia="宋体" w:cs="宋体"/>
                <w:color w:val="FF0000"/>
              </w:rPr>
              <w:t>3</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F138">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50002">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DED0">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1D0F">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299F6">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3F6CD">
            <w:pPr>
              <w:pStyle w:val="6"/>
              <w:spacing w:beforeAutospacing="0" w:afterAutospacing="0" w:line="0" w:lineRule="atLeast"/>
              <w:jc w:val="center"/>
            </w:pPr>
            <w:r>
              <w:t> </w:t>
            </w:r>
          </w:p>
        </w:tc>
      </w:tr>
      <w:tr w14:paraId="02B9F51E">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A63B">
            <w:pPr>
              <w:pStyle w:val="6"/>
              <w:spacing w:beforeAutospacing="0" w:afterAutospacing="0" w:line="0" w:lineRule="atLeast"/>
              <w:jc w:val="center"/>
            </w:pPr>
            <w:r>
              <w:rPr>
                <w:rFonts w:hint="eastAsia" w:ascii="宋体" w:hAnsi="宋体" w:eastAsia="宋体" w:cs="宋体"/>
                <w:color w:val="FF0000"/>
              </w:rPr>
              <w:t>……</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E254D">
            <w:pPr>
              <w:pStyle w:val="6"/>
              <w:spacing w:beforeAutospacing="0" w:afterAutospacing="0" w:line="0" w:lineRule="atLeast"/>
              <w:jc w:val="center"/>
            </w:pPr>
            <w:r>
              <w:rPr>
                <w:rFonts w:hint="eastAsia" w:ascii="宋体" w:hAnsi="宋体" w:eastAsia="宋体" w:cs="宋体"/>
                <w:color w:val="FF0000"/>
              </w:rPr>
              <w:t>……</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8755">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7528">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7FE22">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CD5D">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B2D43">
            <w:pPr>
              <w:pStyle w:val="6"/>
              <w:spacing w:beforeAutospacing="0" w:afterAutospacing="0" w:line="0" w:lineRule="atLeast"/>
              <w:jc w:val="center"/>
            </w:pPr>
            <w:r>
              <w:t> </w:t>
            </w:r>
          </w:p>
        </w:tc>
      </w:tr>
      <w:tr w14:paraId="3C49591F">
        <w:tblPrEx>
          <w:tblCellMar>
            <w:top w:w="0" w:type="dxa"/>
            <w:left w:w="108" w:type="dxa"/>
            <w:bottom w:w="0" w:type="dxa"/>
            <w:right w:w="108" w:type="dxa"/>
          </w:tblCellMar>
        </w:tblPrEx>
        <w:trPr>
          <w:trHeight w:val="487" w:hRule="atLeast"/>
          <w:tblCellSpacing w:w="0" w:type="dxa"/>
        </w:trPr>
        <w:tc>
          <w:tcPr>
            <w:tcW w:w="68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897C2F">
            <w:pPr>
              <w:pStyle w:val="6"/>
              <w:spacing w:beforeAutospacing="0" w:afterAutospacing="0" w:line="0" w:lineRule="atLeast"/>
              <w:jc w:val="center"/>
            </w:pPr>
            <w:r>
              <w:rPr>
                <w:rFonts w:hint="eastAsia" w:ascii="宋体" w:hAnsi="宋体" w:eastAsia="宋体" w:cs="宋体"/>
                <w:color w:val="FF0000"/>
              </w:rPr>
              <w:t>总报价（人民币：元）</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12DD">
            <w:pPr>
              <w:pStyle w:val="6"/>
              <w:spacing w:beforeAutospacing="0" w:afterAutospacing="0" w:line="0" w:lineRule="atLeast"/>
              <w:jc w:val="both"/>
            </w:pPr>
            <w:r>
              <w:t> </w:t>
            </w:r>
          </w:p>
        </w:tc>
      </w:tr>
    </w:tbl>
    <w:p w14:paraId="75401A9A">
      <w:pPr>
        <w:pStyle w:val="6"/>
        <w:spacing w:beforeAutospacing="0" w:afterAutospacing="0"/>
        <w:jc w:val="both"/>
      </w:pPr>
      <w:r>
        <w:rPr>
          <w:rFonts w:hint="eastAsia" w:ascii="宋体" w:hAnsi="宋体" w:eastAsia="宋体" w:cs="宋体"/>
          <w:color w:val="FF0000"/>
        </w:rPr>
        <w:t>备注： 谈判报价采用总承包方式，供应商的“总报价”应包括采购人需求的服务（包含与服务相关的产品）价格、质量保证费用、培训费用及售后服务费用，项目在指定地点、环境交付、安装、调试、验收所需费用和所有相关税金费用及为完成整个项目所产生的其它所有费用。</w:t>
      </w:r>
    </w:p>
    <w:p w14:paraId="5D736044">
      <w:pPr>
        <w:pStyle w:val="6"/>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备注：该表仅适用于项目采用货币报价的情形。项目采用折扣率报价的，请项目经办人自行设计表格。项目经办人也可根据项目实际情况对该表进行重新设计。谈判文件定稿后该备注删除。</w:t>
      </w:r>
    </w:p>
    <w:p w14:paraId="48B5BFAF">
      <w:pPr>
        <w:pStyle w:val="6"/>
        <w:spacing w:beforeAutospacing="0" w:afterAutospacing="0"/>
        <w:jc w:val="both"/>
      </w:pPr>
      <w:r>
        <w:t> </w:t>
      </w:r>
    </w:p>
    <w:p w14:paraId="364E5655">
      <w:pPr>
        <w:pStyle w:val="6"/>
        <w:spacing w:beforeAutospacing="0" w:afterAutospacing="0"/>
        <w:jc w:val="both"/>
      </w:pPr>
      <w:r>
        <w:t> </w:t>
      </w:r>
    </w:p>
    <w:p w14:paraId="78A6E497">
      <w:pPr>
        <w:pStyle w:val="6"/>
        <w:spacing w:beforeAutospacing="0" w:afterAutospacing="0"/>
        <w:jc w:val="both"/>
      </w:pPr>
      <w:r>
        <w:t> </w:t>
      </w:r>
    </w:p>
    <w:p w14:paraId="517F636C">
      <w:pPr>
        <w:pStyle w:val="6"/>
        <w:spacing w:beforeAutospacing="0" w:afterAutospacing="0"/>
        <w:jc w:val="both"/>
      </w:pPr>
      <w:r>
        <w:t> </w:t>
      </w:r>
    </w:p>
    <w:p w14:paraId="7A21A617">
      <w:pPr>
        <w:pStyle w:val="6"/>
        <w:spacing w:beforeAutospacing="0" w:afterAutospacing="0"/>
        <w:jc w:val="both"/>
      </w:pPr>
      <w:r>
        <w:t> </w:t>
      </w:r>
    </w:p>
    <w:p w14:paraId="006131DA">
      <w:pPr>
        <w:pStyle w:val="6"/>
        <w:spacing w:beforeAutospacing="0" w:afterAutospacing="0"/>
        <w:jc w:val="both"/>
      </w:pPr>
      <w:r>
        <w:t> </w:t>
      </w:r>
    </w:p>
    <w:p w14:paraId="57679AA3">
      <w:pPr>
        <w:pStyle w:val="6"/>
        <w:spacing w:beforeAutospacing="0" w:afterAutospacing="0"/>
        <w:jc w:val="both"/>
      </w:pPr>
      <w:r>
        <w:t> </w:t>
      </w:r>
    </w:p>
    <w:p w14:paraId="36C14817">
      <w:pPr>
        <w:pStyle w:val="6"/>
        <w:spacing w:beforeAutospacing="0" w:afterAutospacing="0"/>
        <w:jc w:val="both"/>
      </w:pPr>
      <w:r>
        <w:t> </w:t>
      </w:r>
    </w:p>
    <w:p w14:paraId="4C784845">
      <w:pPr>
        <w:pStyle w:val="6"/>
        <w:spacing w:beforeAutospacing="0" w:afterAutospacing="0"/>
        <w:jc w:val="both"/>
      </w:pPr>
      <w:r>
        <w:t> </w:t>
      </w:r>
    </w:p>
    <w:p w14:paraId="247BF118">
      <w:pPr>
        <w:pStyle w:val="6"/>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7"/>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3845E8E2">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90B6">
            <w:pPr>
              <w:pStyle w:val="6"/>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4281">
            <w:pPr>
              <w:pStyle w:val="6"/>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AF780">
            <w:pPr>
              <w:pStyle w:val="6"/>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C5CB">
            <w:pPr>
              <w:pStyle w:val="6"/>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E9F91">
            <w:pPr>
              <w:pStyle w:val="6"/>
              <w:spacing w:beforeAutospacing="0" w:afterAutospacing="0"/>
              <w:jc w:val="center"/>
            </w:pPr>
            <w:r>
              <w:rPr>
                <w:rFonts w:hint="eastAsia" w:ascii="宋体" w:hAnsi="宋体" w:eastAsia="宋体" w:cs="宋体"/>
                <w:color w:val="000000"/>
              </w:rPr>
              <w:t>证明</w:t>
            </w:r>
          </w:p>
          <w:p w14:paraId="57F18D4E">
            <w:pPr>
              <w:pStyle w:val="6"/>
              <w:spacing w:beforeAutospacing="0" w:afterAutospacing="0"/>
              <w:jc w:val="center"/>
            </w:pPr>
            <w:r>
              <w:rPr>
                <w:rFonts w:hint="eastAsia" w:ascii="宋体" w:hAnsi="宋体" w:eastAsia="宋体" w:cs="宋体"/>
                <w:color w:val="000000"/>
              </w:rPr>
              <w:t>材料</w:t>
            </w:r>
          </w:p>
        </w:tc>
      </w:tr>
      <w:tr w14:paraId="194C60D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82D6">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C1A1D">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963D">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8EBB">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DF09D">
            <w:pPr>
              <w:pStyle w:val="6"/>
              <w:spacing w:beforeAutospacing="0" w:afterAutospacing="0"/>
              <w:jc w:val="center"/>
            </w:pPr>
            <w:r>
              <w:t> </w:t>
            </w:r>
          </w:p>
        </w:tc>
      </w:tr>
      <w:tr w14:paraId="58FE8D3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A0F68">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C85BC">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DE71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570F">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558B">
            <w:pPr>
              <w:pStyle w:val="6"/>
              <w:spacing w:beforeAutospacing="0" w:afterAutospacing="0"/>
              <w:jc w:val="center"/>
            </w:pPr>
            <w:r>
              <w:t> </w:t>
            </w:r>
          </w:p>
        </w:tc>
      </w:tr>
      <w:tr w14:paraId="62CC2D2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BD38">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51B3">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334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5C0B8">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E687">
            <w:pPr>
              <w:pStyle w:val="6"/>
              <w:spacing w:beforeAutospacing="0" w:afterAutospacing="0"/>
              <w:jc w:val="center"/>
            </w:pPr>
            <w:r>
              <w:t> </w:t>
            </w:r>
          </w:p>
        </w:tc>
      </w:tr>
      <w:tr w14:paraId="5B60F49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9C045">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7383">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8730">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CD430">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9BBC">
            <w:pPr>
              <w:pStyle w:val="6"/>
              <w:spacing w:beforeAutospacing="0" w:afterAutospacing="0"/>
              <w:jc w:val="center"/>
            </w:pPr>
            <w:r>
              <w:t> </w:t>
            </w:r>
          </w:p>
        </w:tc>
      </w:tr>
      <w:tr w14:paraId="30F5021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37FF">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B3AE">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DF069">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771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0441">
            <w:pPr>
              <w:pStyle w:val="6"/>
              <w:spacing w:beforeAutospacing="0" w:afterAutospacing="0"/>
              <w:jc w:val="center"/>
            </w:pPr>
            <w:r>
              <w:t> </w:t>
            </w:r>
          </w:p>
        </w:tc>
      </w:tr>
      <w:tr w14:paraId="5485AED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1883">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CAE34">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D0D8">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43B6">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5EE8E">
            <w:pPr>
              <w:pStyle w:val="6"/>
              <w:spacing w:beforeAutospacing="0" w:afterAutospacing="0"/>
              <w:jc w:val="center"/>
            </w:pPr>
            <w:r>
              <w:t> </w:t>
            </w:r>
          </w:p>
        </w:tc>
      </w:tr>
      <w:tr w14:paraId="3CAB852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58C4">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88F78">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3BF5">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753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7BA4">
            <w:pPr>
              <w:pStyle w:val="6"/>
              <w:spacing w:beforeAutospacing="0" w:afterAutospacing="0"/>
              <w:jc w:val="center"/>
            </w:pPr>
            <w:r>
              <w:t> </w:t>
            </w:r>
          </w:p>
        </w:tc>
      </w:tr>
      <w:tr w14:paraId="2E5A7DB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D891">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D9E31">
            <w:pPr>
              <w:pStyle w:val="6"/>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D954">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32A6">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FA3C">
            <w:pPr>
              <w:pStyle w:val="6"/>
              <w:spacing w:beforeAutospacing="0" w:afterAutospacing="0"/>
              <w:jc w:val="center"/>
            </w:pPr>
            <w:r>
              <w:t> </w:t>
            </w:r>
          </w:p>
        </w:tc>
      </w:tr>
    </w:tbl>
    <w:p w14:paraId="24086BF6">
      <w:pPr>
        <w:pStyle w:val="6"/>
        <w:spacing w:beforeAutospacing="0" w:afterAutospacing="0"/>
        <w:jc w:val="both"/>
      </w:pPr>
      <w:r>
        <w:rPr>
          <w:rFonts w:hint="eastAsia" w:ascii="宋体" w:hAnsi="宋体" w:eastAsia="宋体" w:cs="宋体"/>
          <w:color w:val="000000"/>
        </w:rPr>
        <w:t>注： 行数不够，可自行添加。</w:t>
      </w:r>
    </w:p>
    <w:p w14:paraId="52EF878F">
      <w:pPr>
        <w:pStyle w:val="6"/>
        <w:spacing w:beforeAutospacing="0" w:afterAutospacing="0"/>
        <w:jc w:val="center"/>
      </w:pPr>
      <w:r>
        <w:t> </w:t>
      </w:r>
    </w:p>
    <w:p w14:paraId="37848C37">
      <w:pPr>
        <w:pStyle w:val="6"/>
        <w:spacing w:beforeAutospacing="0" w:afterAutospacing="0"/>
        <w:jc w:val="center"/>
      </w:pPr>
      <w:r>
        <w:t> </w:t>
      </w:r>
    </w:p>
    <w:p w14:paraId="6D291F92">
      <w:pPr>
        <w:pStyle w:val="6"/>
        <w:spacing w:beforeAutospacing="0" w:afterAutospacing="0"/>
        <w:jc w:val="center"/>
      </w:pPr>
      <w:r>
        <w:t> </w:t>
      </w:r>
    </w:p>
    <w:p w14:paraId="4F504652">
      <w:pPr>
        <w:pStyle w:val="6"/>
        <w:spacing w:beforeAutospacing="0" w:afterAutospacing="0"/>
        <w:jc w:val="center"/>
      </w:pPr>
      <w:r>
        <w:t> </w:t>
      </w:r>
    </w:p>
    <w:p w14:paraId="385B50E4">
      <w:pPr>
        <w:pStyle w:val="6"/>
        <w:spacing w:beforeAutospacing="0" w:afterAutospacing="0"/>
        <w:jc w:val="both"/>
      </w:pPr>
      <w:r>
        <w:t> </w:t>
      </w:r>
    </w:p>
    <w:p w14:paraId="62D5075A">
      <w:pPr>
        <w:pStyle w:val="6"/>
        <w:spacing w:beforeAutospacing="0" w:afterAutospacing="0"/>
        <w:jc w:val="both"/>
      </w:pPr>
      <w:r>
        <w:t> </w:t>
      </w:r>
    </w:p>
    <w:p w14:paraId="6F080B09">
      <w:pPr>
        <w:pStyle w:val="6"/>
        <w:spacing w:beforeAutospacing="0" w:afterAutospacing="0"/>
        <w:jc w:val="both"/>
      </w:pPr>
      <w:r>
        <w:t> </w:t>
      </w:r>
    </w:p>
    <w:p w14:paraId="1C554FE5">
      <w:pPr>
        <w:pStyle w:val="6"/>
        <w:spacing w:beforeAutospacing="0" w:afterAutospacing="0"/>
        <w:jc w:val="both"/>
      </w:pPr>
      <w:r>
        <w:t> </w:t>
      </w:r>
    </w:p>
    <w:p w14:paraId="66C5080F">
      <w:pPr>
        <w:pStyle w:val="6"/>
        <w:spacing w:beforeAutospacing="0" w:afterAutospacing="0"/>
        <w:jc w:val="both"/>
      </w:pPr>
      <w:r>
        <w:t> </w:t>
      </w:r>
    </w:p>
    <w:p w14:paraId="4E1087EC">
      <w:pPr>
        <w:pStyle w:val="6"/>
        <w:spacing w:beforeAutospacing="0" w:afterAutospacing="0"/>
        <w:jc w:val="both"/>
      </w:pPr>
      <w:r>
        <w:t> </w:t>
      </w:r>
    </w:p>
    <w:p w14:paraId="25B8AF87">
      <w:pPr>
        <w:pStyle w:val="6"/>
        <w:spacing w:beforeAutospacing="0" w:afterAutospacing="0"/>
        <w:jc w:val="both"/>
      </w:pPr>
      <w:r>
        <w:t> </w:t>
      </w:r>
    </w:p>
    <w:p w14:paraId="28DFDB12">
      <w:pPr>
        <w:pStyle w:val="6"/>
        <w:spacing w:beforeAutospacing="0" w:afterAutospacing="0"/>
        <w:jc w:val="both"/>
      </w:pPr>
      <w:r>
        <w:t> </w:t>
      </w:r>
    </w:p>
    <w:p w14:paraId="1FBB3F80">
      <w:pPr>
        <w:pStyle w:val="6"/>
        <w:spacing w:beforeAutospacing="0" w:afterAutospacing="0"/>
        <w:jc w:val="center"/>
      </w:pPr>
      <w:bookmarkStart w:id="173" w:name="_Hlt26955054"/>
      <w:r>
        <w:rPr>
          <w:rFonts w:hint="eastAsia" w:ascii="黑体" w:hAnsi="宋体" w:eastAsia="黑体" w:cs="黑体"/>
          <w:b/>
          <w:color w:val="000000"/>
          <w:sz w:val="32"/>
          <w:szCs w:val="32"/>
        </w:rPr>
        <w:t>十四、商务要求响应及偏离表（分包号：**）</w:t>
      </w:r>
    </w:p>
    <w:tbl>
      <w:tblPr>
        <w:tblStyle w:val="7"/>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6DB383B9">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B93B">
            <w:pPr>
              <w:pStyle w:val="6"/>
              <w:spacing w:beforeAutospacing="0" w:afterAutospacing="0"/>
              <w:jc w:val="center"/>
            </w:pPr>
            <w:bookmarkStart w:id="174" w:name="_Hlt26671372"/>
            <w:bookmarkStart w:id="175" w:name="_Hlt26782999"/>
            <w:bookmarkStart w:id="176" w:name="_Hlt26609391"/>
            <w:bookmarkStart w:id="177" w:name="_Hlt26671343"/>
            <w:bookmarkStart w:id="178" w:name="_Hlt24879081"/>
            <w:bookmarkStart w:id="179" w:name="_Hlt26580838"/>
            <w:bookmarkStart w:id="180" w:name="_Hlt26955064"/>
            <w:bookmarkStart w:id="181" w:name="_Hlt26955056"/>
            <w:r>
              <w:rPr>
                <w:rFonts w:hint="eastAsia" w:ascii="宋体" w:hAnsi="宋体" w:eastAsia="宋体" w:cs="宋体"/>
                <w:color w:val="000000"/>
              </w:rPr>
              <w:t>序号</w:t>
            </w:r>
          </w:p>
          <w:bookmarkEnd w:id="174"/>
          <w:bookmarkEnd w:id="175"/>
          <w:bookmarkEnd w:id="176"/>
          <w:bookmarkEnd w:id="177"/>
          <w:bookmarkEnd w:id="178"/>
          <w:bookmarkEnd w:id="179"/>
          <w:bookmarkEnd w:id="180"/>
          <w:bookmarkEnd w:id="181"/>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3CEF">
            <w:pPr>
              <w:pStyle w:val="6"/>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6391A">
            <w:pPr>
              <w:pStyle w:val="6"/>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DE9D">
            <w:pPr>
              <w:pStyle w:val="6"/>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C67B">
            <w:pPr>
              <w:pStyle w:val="6"/>
              <w:spacing w:beforeAutospacing="0" w:afterAutospacing="0"/>
              <w:jc w:val="center"/>
            </w:pPr>
            <w:r>
              <w:rPr>
                <w:rFonts w:hint="eastAsia" w:ascii="宋体" w:hAnsi="宋体" w:eastAsia="宋体" w:cs="宋体"/>
                <w:color w:val="000000"/>
              </w:rPr>
              <w:t>证明</w:t>
            </w:r>
          </w:p>
          <w:p w14:paraId="1FCEBB50">
            <w:pPr>
              <w:pStyle w:val="6"/>
              <w:spacing w:beforeAutospacing="0" w:afterAutospacing="0"/>
              <w:jc w:val="center"/>
            </w:pPr>
            <w:r>
              <w:rPr>
                <w:rFonts w:hint="eastAsia" w:ascii="宋体" w:hAnsi="宋体" w:eastAsia="宋体" w:cs="宋体"/>
                <w:color w:val="000000"/>
              </w:rPr>
              <w:t>材料</w:t>
            </w:r>
          </w:p>
        </w:tc>
      </w:tr>
      <w:tr w14:paraId="641ABFE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CE81">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CF88">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36B1">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99BE">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DF1AB">
            <w:pPr>
              <w:pStyle w:val="6"/>
              <w:spacing w:beforeAutospacing="0" w:afterAutospacing="0"/>
              <w:jc w:val="center"/>
            </w:pPr>
            <w:r>
              <w:t> </w:t>
            </w:r>
          </w:p>
        </w:tc>
      </w:tr>
      <w:tr w14:paraId="4BD7A5A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79EAE">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D7DD">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2C52B">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9F94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102D">
            <w:pPr>
              <w:pStyle w:val="6"/>
              <w:spacing w:beforeAutospacing="0" w:afterAutospacing="0"/>
              <w:jc w:val="center"/>
            </w:pPr>
            <w:r>
              <w:t> </w:t>
            </w:r>
          </w:p>
        </w:tc>
      </w:tr>
      <w:tr w14:paraId="6E3F711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8576A">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C27C">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CB2BF">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9A0C">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6A8AE">
            <w:pPr>
              <w:pStyle w:val="6"/>
              <w:spacing w:beforeAutospacing="0" w:afterAutospacing="0"/>
              <w:jc w:val="center"/>
            </w:pPr>
            <w:r>
              <w:t> </w:t>
            </w:r>
          </w:p>
        </w:tc>
      </w:tr>
      <w:tr w14:paraId="28184C5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51A5">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105B">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65CB">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58D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16ED">
            <w:pPr>
              <w:pStyle w:val="6"/>
              <w:spacing w:beforeAutospacing="0" w:afterAutospacing="0"/>
              <w:jc w:val="center"/>
            </w:pPr>
            <w:r>
              <w:t> </w:t>
            </w:r>
          </w:p>
        </w:tc>
      </w:tr>
      <w:tr w14:paraId="32CA6C3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ABFC">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FE90">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49AAC">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5891">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4C85">
            <w:pPr>
              <w:pStyle w:val="6"/>
              <w:spacing w:beforeAutospacing="0" w:afterAutospacing="0"/>
              <w:jc w:val="center"/>
            </w:pPr>
            <w:r>
              <w:t> </w:t>
            </w:r>
          </w:p>
        </w:tc>
      </w:tr>
      <w:tr w14:paraId="65D85F8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79024">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224F9">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B8C09">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250C">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79B8">
            <w:pPr>
              <w:pStyle w:val="6"/>
              <w:spacing w:beforeAutospacing="0" w:afterAutospacing="0"/>
              <w:jc w:val="center"/>
            </w:pPr>
            <w:r>
              <w:t> </w:t>
            </w:r>
          </w:p>
        </w:tc>
      </w:tr>
      <w:tr w14:paraId="7877B3A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998A">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8A14">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D8AD">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B7D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0C54">
            <w:pPr>
              <w:pStyle w:val="6"/>
              <w:spacing w:beforeAutospacing="0" w:afterAutospacing="0"/>
              <w:jc w:val="center"/>
            </w:pPr>
            <w:r>
              <w:t> </w:t>
            </w:r>
          </w:p>
        </w:tc>
      </w:tr>
      <w:tr w14:paraId="5E9CD25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B199">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F887B">
            <w:pPr>
              <w:pStyle w:val="6"/>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1623F">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2496">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84646">
            <w:pPr>
              <w:pStyle w:val="6"/>
              <w:spacing w:beforeAutospacing="0" w:afterAutospacing="0"/>
              <w:jc w:val="center"/>
            </w:pPr>
            <w:r>
              <w:t> </w:t>
            </w:r>
          </w:p>
        </w:tc>
      </w:tr>
    </w:tbl>
    <w:p w14:paraId="35C1E5ED">
      <w:pPr>
        <w:pStyle w:val="6"/>
        <w:spacing w:beforeAutospacing="0" w:afterAutospacing="0"/>
        <w:jc w:val="both"/>
      </w:pPr>
      <w:r>
        <w:rPr>
          <w:rFonts w:hint="eastAsia" w:ascii="宋体" w:hAnsi="宋体" w:eastAsia="宋体" w:cs="宋体"/>
          <w:color w:val="000000"/>
        </w:rPr>
        <w:t>注： 行数不够，可自行添加。</w:t>
      </w:r>
    </w:p>
    <w:p w14:paraId="0EC79A2E">
      <w:pPr>
        <w:widowControl/>
        <w:spacing w:before="50" w:after="50"/>
        <w:jc w:val="center"/>
        <w:rPr>
          <w:rFonts w:ascii="宋体" w:hAnsi="宋体" w:eastAsia="宋体" w:cs="宋体"/>
          <w:sz w:val="24"/>
        </w:rPr>
      </w:pPr>
      <w:r>
        <w:t> </w:t>
      </w:r>
      <w:r>
        <w:tab/>
      </w:r>
      <w:r>
        <w:rPr>
          <w:rFonts w:hint="eastAsia" w:ascii="宋体" w:hAnsi="宋体" w:eastAsia="宋体" w:cs="宋体"/>
          <w:color w:val="000000"/>
          <w:sz w:val="32"/>
          <w:szCs w:val="32"/>
        </w:rPr>
        <w:t>十五、技术方案、服务承诺、培训承诺等</w:t>
      </w:r>
    </w:p>
    <w:p w14:paraId="5B30BA74">
      <w:pPr>
        <w:pStyle w:val="6"/>
        <w:tabs>
          <w:tab w:val="left" w:pos="2160"/>
        </w:tabs>
        <w:spacing w:beforeAutospacing="0" w:afterAutospacing="0"/>
        <w:jc w:val="both"/>
      </w:pPr>
    </w:p>
    <w:p w14:paraId="5C13EAED">
      <w:pPr>
        <w:widowControl/>
        <w:spacing w:line="499" w:lineRule="atLeast"/>
        <w:ind w:firstLine="1600"/>
        <w:rPr>
          <w:rFonts w:ascii="宋体" w:hAnsi="宋体" w:eastAsia="宋体" w:cs="宋体"/>
          <w:color w:val="000000"/>
          <w:sz w:val="32"/>
          <w:szCs w:val="32"/>
        </w:rPr>
      </w:pPr>
    </w:p>
    <w:p w14:paraId="279C83BA">
      <w:pPr>
        <w:widowControl/>
        <w:spacing w:line="499" w:lineRule="atLeast"/>
        <w:ind w:firstLine="1600"/>
        <w:rPr>
          <w:rFonts w:ascii="宋体" w:hAnsi="宋体" w:eastAsia="宋体" w:cs="宋体"/>
          <w:color w:val="000000"/>
          <w:sz w:val="32"/>
          <w:szCs w:val="32"/>
        </w:rPr>
      </w:pPr>
    </w:p>
    <w:p w14:paraId="78E1F694">
      <w:pPr>
        <w:widowControl/>
        <w:spacing w:line="499" w:lineRule="atLeast"/>
        <w:ind w:firstLine="1600"/>
        <w:rPr>
          <w:rFonts w:ascii="宋体" w:hAnsi="宋体" w:eastAsia="宋体" w:cs="宋体"/>
          <w:color w:val="000000"/>
          <w:sz w:val="32"/>
          <w:szCs w:val="32"/>
        </w:rPr>
      </w:pPr>
    </w:p>
    <w:p w14:paraId="40DA7807">
      <w:pPr>
        <w:widowControl/>
        <w:spacing w:line="499" w:lineRule="atLeast"/>
        <w:ind w:firstLine="1600"/>
        <w:rPr>
          <w:rFonts w:ascii="宋体" w:hAnsi="宋体" w:eastAsia="宋体" w:cs="宋体"/>
          <w:color w:val="000000"/>
          <w:sz w:val="32"/>
          <w:szCs w:val="32"/>
        </w:rPr>
      </w:pPr>
    </w:p>
    <w:p w14:paraId="6E083E71">
      <w:pPr>
        <w:widowControl/>
        <w:spacing w:line="499" w:lineRule="atLeast"/>
        <w:ind w:firstLine="1600"/>
        <w:rPr>
          <w:rFonts w:ascii="宋体" w:hAnsi="宋体" w:eastAsia="宋体" w:cs="宋体"/>
          <w:color w:val="000000"/>
          <w:sz w:val="32"/>
          <w:szCs w:val="32"/>
        </w:rPr>
      </w:pPr>
    </w:p>
    <w:p w14:paraId="5F33AD4F">
      <w:pPr>
        <w:widowControl/>
        <w:spacing w:line="499" w:lineRule="atLeast"/>
        <w:ind w:firstLine="1600"/>
        <w:rPr>
          <w:rFonts w:ascii="宋体" w:hAnsi="宋体" w:eastAsia="宋体" w:cs="宋体"/>
          <w:color w:val="000000"/>
          <w:sz w:val="32"/>
          <w:szCs w:val="32"/>
        </w:rPr>
      </w:pPr>
    </w:p>
    <w:p w14:paraId="788D6F0B">
      <w:pPr>
        <w:widowControl/>
        <w:spacing w:line="499" w:lineRule="atLeast"/>
        <w:ind w:firstLine="1600"/>
        <w:rPr>
          <w:rFonts w:ascii="宋体" w:hAnsi="宋体" w:eastAsia="宋体" w:cs="宋体"/>
          <w:color w:val="000000"/>
          <w:sz w:val="32"/>
          <w:szCs w:val="32"/>
        </w:rPr>
      </w:pPr>
    </w:p>
    <w:p w14:paraId="59B6D982">
      <w:pPr>
        <w:widowControl/>
        <w:spacing w:line="499" w:lineRule="atLeast"/>
        <w:ind w:firstLine="1600"/>
        <w:rPr>
          <w:rFonts w:ascii="宋体" w:hAnsi="宋体" w:eastAsia="宋体" w:cs="宋体"/>
          <w:color w:val="000000"/>
          <w:sz w:val="32"/>
          <w:szCs w:val="32"/>
        </w:rPr>
      </w:pPr>
    </w:p>
    <w:p w14:paraId="1B0A8DF8">
      <w:pPr>
        <w:widowControl/>
        <w:spacing w:line="499" w:lineRule="atLeast"/>
        <w:ind w:firstLine="1600"/>
        <w:rPr>
          <w:rFonts w:ascii="宋体" w:hAnsi="宋体" w:eastAsia="宋体" w:cs="宋体"/>
          <w:color w:val="000000"/>
          <w:sz w:val="32"/>
          <w:szCs w:val="32"/>
        </w:rPr>
      </w:pPr>
    </w:p>
    <w:p w14:paraId="3E5E0AF9">
      <w:pPr>
        <w:widowControl/>
        <w:spacing w:line="499" w:lineRule="atLeast"/>
        <w:ind w:firstLine="1600"/>
        <w:rPr>
          <w:rFonts w:ascii="宋体" w:hAnsi="宋体" w:eastAsia="宋体" w:cs="宋体"/>
          <w:color w:val="000000"/>
          <w:sz w:val="32"/>
          <w:szCs w:val="32"/>
        </w:rPr>
      </w:pPr>
    </w:p>
    <w:p w14:paraId="426F95E0">
      <w:pPr>
        <w:widowControl/>
        <w:spacing w:line="499" w:lineRule="atLeast"/>
        <w:ind w:firstLine="1600"/>
        <w:rPr>
          <w:rFonts w:ascii="宋体" w:hAnsi="宋体" w:eastAsia="宋体" w:cs="宋体"/>
          <w:color w:val="000000"/>
          <w:sz w:val="32"/>
          <w:szCs w:val="32"/>
        </w:rPr>
      </w:pPr>
    </w:p>
    <w:p w14:paraId="5C12B953">
      <w:pPr>
        <w:widowControl/>
        <w:spacing w:line="499" w:lineRule="atLeast"/>
        <w:ind w:firstLine="1600"/>
        <w:rPr>
          <w:rFonts w:ascii="宋体" w:hAnsi="宋体" w:eastAsia="宋体" w:cs="宋体"/>
          <w:color w:val="000000"/>
          <w:sz w:val="32"/>
          <w:szCs w:val="32"/>
        </w:rPr>
      </w:pPr>
    </w:p>
    <w:p w14:paraId="63F6DEAF">
      <w:pPr>
        <w:widowControl/>
        <w:spacing w:line="499" w:lineRule="atLeast"/>
        <w:ind w:firstLine="1600"/>
        <w:rPr>
          <w:rFonts w:ascii="宋体" w:hAnsi="宋体" w:eastAsia="宋体" w:cs="宋体"/>
          <w:color w:val="000000"/>
          <w:sz w:val="32"/>
          <w:szCs w:val="32"/>
        </w:rPr>
      </w:pPr>
    </w:p>
    <w:p w14:paraId="1CC8C245">
      <w:pPr>
        <w:widowControl/>
        <w:spacing w:line="499" w:lineRule="atLeast"/>
        <w:ind w:firstLine="1600"/>
        <w:rPr>
          <w:rFonts w:ascii="宋体" w:hAnsi="宋体" w:eastAsia="宋体" w:cs="宋体"/>
          <w:color w:val="000000"/>
          <w:sz w:val="32"/>
          <w:szCs w:val="32"/>
        </w:rPr>
      </w:pPr>
    </w:p>
    <w:p w14:paraId="5FC75CCA">
      <w:pPr>
        <w:widowControl/>
        <w:spacing w:line="499" w:lineRule="atLeast"/>
        <w:ind w:firstLine="1600"/>
        <w:rPr>
          <w:rFonts w:ascii="宋体" w:hAnsi="宋体" w:eastAsia="宋体" w:cs="宋体"/>
          <w:color w:val="000000"/>
          <w:sz w:val="32"/>
          <w:szCs w:val="32"/>
        </w:rPr>
      </w:pPr>
    </w:p>
    <w:p w14:paraId="7A06B5CE">
      <w:pPr>
        <w:widowControl/>
        <w:spacing w:line="499" w:lineRule="atLeast"/>
        <w:ind w:firstLine="1600"/>
        <w:rPr>
          <w:rFonts w:ascii="宋体" w:hAnsi="宋体" w:eastAsia="宋体" w:cs="宋体"/>
          <w:color w:val="000000"/>
          <w:sz w:val="32"/>
          <w:szCs w:val="32"/>
        </w:rPr>
      </w:pPr>
    </w:p>
    <w:p w14:paraId="1FC005F1">
      <w:pPr>
        <w:widowControl/>
        <w:spacing w:line="499" w:lineRule="atLeast"/>
        <w:ind w:firstLine="1600"/>
        <w:rPr>
          <w:rFonts w:ascii="宋体" w:hAnsi="宋体" w:eastAsia="宋体" w:cs="宋体"/>
          <w:color w:val="000000"/>
          <w:sz w:val="32"/>
          <w:szCs w:val="32"/>
        </w:rPr>
      </w:pPr>
    </w:p>
    <w:p w14:paraId="33F8259E">
      <w:pPr>
        <w:widowControl/>
        <w:spacing w:line="499" w:lineRule="atLeast"/>
        <w:ind w:firstLine="1600"/>
        <w:rPr>
          <w:rFonts w:ascii="宋体" w:hAnsi="宋体" w:eastAsia="宋体" w:cs="宋体"/>
          <w:color w:val="000000"/>
          <w:sz w:val="32"/>
          <w:szCs w:val="32"/>
        </w:rPr>
      </w:pPr>
    </w:p>
    <w:p w14:paraId="57CA53F9">
      <w:pPr>
        <w:widowControl/>
        <w:spacing w:line="499" w:lineRule="atLeast"/>
        <w:ind w:firstLine="1600"/>
        <w:rPr>
          <w:rFonts w:ascii="宋体" w:hAnsi="宋体" w:eastAsia="宋体" w:cs="宋体"/>
          <w:color w:val="000000"/>
          <w:sz w:val="32"/>
          <w:szCs w:val="32"/>
        </w:rPr>
      </w:pPr>
    </w:p>
    <w:p w14:paraId="7FCC0EED">
      <w:pPr>
        <w:widowControl/>
        <w:spacing w:line="499" w:lineRule="atLeast"/>
        <w:ind w:firstLine="1600"/>
        <w:rPr>
          <w:rFonts w:ascii="宋体" w:hAnsi="宋体" w:eastAsia="宋体" w:cs="宋体"/>
          <w:color w:val="000000"/>
          <w:sz w:val="32"/>
          <w:szCs w:val="32"/>
        </w:rPr>
      </w:pPr>
    </w:p>
    <w:p w14:paraId="2F57D340">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十六、盐城市政府采购事前信用承诺书</w:t>
      </w:r>
    </w:p>
    <w:p w14:paraId="36B8625F">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0238CE17">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72E0D704">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76E709EE">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6C7CA836">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76FE440E">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69373E29">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357B87F1">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62704496">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4C33F8A8">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6B6D0EE8">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0DA26D03">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357F22BD">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4A648011">
      <w:pPr>
        <w:pStyle w:val="6"/>
        <w:spacing w:beforeAutospacing="0" w:afterAutospacing="0" w:line="480" w:lineRule="auto"/>
        <w:jc w:val="both"/>
      </w:pPr>
      <w:bookmarkStart w:id="182" w:name="_Hlt26955066"/>
      <w:bookmarkStart w:id="183" w:name="_格式2__法定代表人授权书"/>
      <w:bookmarkStart w:id="184" w:name="_Hlt26671374"/>
      <w:bookmarkStart w:id="185" w:name="_Hlt26609389"/>
      <w:bookmarkStart w:id="186" w:name="_Toc462564146"/>
    </w:p>
    <w:p w14:paraId="34BCF745">
      <w:pPr>
        <w:pStyle w:val="6"/>
        <w:spacing w:beforeAutospacing="0" w:afterAutospacing="0"/>
        <w:jc w:val="both"/>
      </w:pPr>
      <w:r>
        <w:t> </w:t>
      </w:r>
    </w:p>
    <w:bookmarkEnd w:id="6"/>
    <w:bookmarkEnd w:id="41"/>
    <w:bookmarkEnd w:id="88"/>
    <w:bookmarkEnd w:id="89"/>
    <w:bookmarkEnd w:id="90"/>
    <w:bookmarkEnd w:id="91"/>
    <w:bookmarkEnd w:id="92"/>
    <w:bookmarkEnd w:id="93"/>
    <w:bookmarkEnd w:id="94"/>
    <w:bookmarkEnd w:id="95"/>
    <w:bookmarkEnd w:id="104"/>
    <w:bookmarkEnd w:id="105"/>
    <w:bookmarkEnd w:id="112"/>
    <w:bookmarkEnd w:id="159"/>
    <w:bookmarkEnd w:id="160"/>
    <w:bookmarkEnd w:id="163"/>
    <w:bookmarkEnd w:id="166"/>
    <w:bookmarkEnd w:id="167"/>
    <w:bookmarkEnd w:id="168"/>
    <w:bookmarkEnd w:id="169"/>
    <w:bookmarkEnd w:id="170"/>
    <w:bookmarkEnd w:id="171"/>
    <w:bookmarkEnd w:id="172"/>
    <w:bookmarkEnd w:id="173"/>
    <w:bookmarkEnd w:id="182"/>
    <w:bookmarkEnd w:id="183"/>
    <w:bookmarkEnd w:id="184"/>
    <w:bookmarkEnd w:id="185"/>
    <w:bookmarkEnd w:id="186"/>
    <w:p w14:paraId="6A1D110E">
      <w:pPr>
        <w:pStyle w:val="6"/>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4C1711FD">
      <w:pPr>
        <w:pStyle w:val="6"/>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2AE58BDE">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30C8F35">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1A829F68">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ADAC549">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EFC14D8">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3AAF981">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9ABB9A7">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B175B6B">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B53DE1F">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41312EDB">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6CBBA5AB">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64B6DEAA">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54F99D55">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4036617">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424894A4">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3B3CA785">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746DFF7B">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45B4ACD8">
      <w:pPr>
        <w:pStyle w:val="6"/>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53C36663">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1CD498CD">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69EC93B0">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64220FAE">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48DA4A95">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249B39B2">
      <w:pPr>
        <w:pStyle w:val="6"/>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66BFF45B">
      <w:pPr>
        <w:pStyle w:val="6"/>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427E3DE3">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185EFBED">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946D509">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258D3E4E">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6DE960CB">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61E3C5A2">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2BE85B9B">
      <w:pPr>
        <w:pStyle w:val="6"/>
        <w:spacing w:beforeAutospacing="0" w:afterAutospacing="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6BC937"/>
    <w:multiLevelType w:val="singleLevel"/>
    <w:tmpl w:val="AD6BC9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172A27"/>
    <w:rsid w:val="001C53D9"/>
    <w:rsid w:val="003D1E79"/>
    <w:rsid w:val="003E2887"/>
    <w:rsid w:val="00430B72"/>
    <w:rsid w:val="004529E6"/>
    <w:rsid w:val="004C25C0"/>
    <w:rsid w:val="00546600"/>
    <w:rsid w:val="005A16C7"/>
    <w:rsid w:val="00651680"/>
    <w:rsid w:val="00653C3D"/>
    <w:rsid w:val="007673F3"/>
    <w:rsid w:val="0080466F"/>
    <w:rsid w:val="008426F7"/>
    <w:rsid w:val="00863B1D"/>
    <w:rsid w:val="00995051"/>
    <w:rsid w:val="00997BAB"/>
    <w:rsid w:val="009C6D74"/>
    <w:rsid w:val="00AE67EC"/>
    <w:rsid w:val="00BE10DC"/>
    <w:rsid w:val="00C62684"/>
    <w:rsid w:val="00D550E3"/>
    <w:rsid w:val="00DD2C10"/>
    <w:rsid w:val="00E7422E"/>
    <w:rsid w:val="00EA3B82"/>
    <w:rsid w:val="00EF0636"/>
    <w:rsid w:val="00F11CE8"/>
    <w:rsid w:val="00F671FA"/>
    <w:rsid w:val="00F7044F"/>
    <w:rsid w:val="00FA7D96"/>
    <w:rsid w:val="00FC05FC"/>
    <w:rsid w:val="014036E0"/>
    <w:rsid w:val="015C3D17"/>
    <w:rsid w:val="021B011D"/>
    <w:rsid w:val="02851591"/>
    <w:rsid w:val="02BD5381"/>
    <w:rsid w:val="02D505AD"/>
    <w:rsid w:val="034E4AD1"/>
    <w:rsid w:val="037E0789"/>
    <w:rsid w:val="04CF1FA6"/>
    <w:rsid w:val="056E5657"/>
    <w:rsid w:val="062C42CE"/>
    <w:rsid w:val="068A6E34"/>
    <w:rsid w:val="07994E3B"/>
    <w:rsid w:val="07A02A3F"/>
    <w:rsid w:val="07A40F48"/>
    <w:rsid w:val="08206100"/>
    <w:rsid w:val="0854758E"/>
    <w:rsid w:val="08992D34"/>
    <w:rsid w:val="08B103F5"/>
    <w:rsid w:val="09132265"/>
    <w:rsid w:val="0ABC363A"/>
    <w:rsid w:val="0AD8294B"/>
    <w:rsid w:val="0AE76A9C"/>
    <w:rsid w:val="0B1A753E"/>
    <w:rsid w:val="0B4B3B00"/>
    <w:rsid w:val="0B8A23C1"/>
    <w:rsid w:val="0BAE3813"/>
    <w:rsid w:val="0BCE65FD"/>
    <w:rsid w:val="0C1D6EF9"/>
    <w:rsid w:val="0D371605"/>
    <w:rsid w:val="0D4D2FC1"/>
    <w:rsid w:val="0E0362D5"/>
    <w:rsid w:val="0E966A8C"/>
    <w:rsid w:val="0EE61CD2"/>
    <w:rsid w:val="0EEA373E"/>
    <w:rsid w:val="0F6D24BC"/>
    <w:rsid w:val="0F7D537E"/>
    <w:rsid w:val="0F933B9D"/>
    <w:rsid w:val="0FB51D65"/>
    <w:rsid w:val="10007707"/>
    <w:rsid w:val="11AB711C"/>
    <w:rsid w:val="123C7DAA"/>
    <w:rsid w:val="12F015A0"/>
    <w:rsid w:val="13B3480E"/>
    <w:rsid w:val="14477BA7"/>
    <w:rsid w:val="16562B75"/>
    <w:rsid w:val="169263C8"/>
    <w:rsid w:val="16A61788"/>
    <w:rsid w:val="17377504"/>
    <w:rsid w:val="17666D47"/>
    <w:rsid w:val="181852C2"/>
    <w:rsid w:val="182022D9"/>
    <w:rsid w:val="18BC4109"/>
    <w:rsid w:val="19137AFC"/>
    <w:rsid w:val="193260E4"/>
    <w:rsid w:val="19554F0B"/>
    <w:rsid w:val="19835197"/>
    <w:rsid w:val="1A4F2C83"/>
    <w:rsid w:val="1AD2708F"/>
    <w:rsid w:val="1AE26B83"/>
    <w:rsid w:val="1B5F5046"/>
    <w:rsid w:val="1B9509DF"/>
    <w:rsid w:val="1BA002D8"/>
    <w:rsid w:val="1CAA2FF5"/>
    <w:rsid w:val="1CAC4347"/>
    <w:rsid w:val="1CDB72D5"/>
    <w:rsid w:val="1D0D31E0"/>
    <w:rsid w:val="1D1C1092"/>
    <w:rsid w:val="1D2552A1"/>
    <w:rsid w:val="1D605A5A"/>
    <w:rsid w:val="1D9923DC"/>
    <w:rsid w:val="1DF73B0C"/>
    <w:rsid w:val="1DFD1285"/>
    <w:rsid w:val="1E0851C2"/>
    <w:rsid w:val="1EC70509"/>
    <w:rsid w:val="1F0D396C"/>
    <w:rsid w:val="1F326608"/>
    <w:rsid w:val="1F4A0271"/>
    <w:rsid w:val="1FC7762D"/>
    <w:rsid w:val="1FF57F5C"/>
    <w:rsid w:val="203F1734"/>
    <w:rsid w:val="20733730"/>
    <w:rsid w:val="20A83FAF"/>
    <w:rsid w:val="215025DE"/>
    <w:rsid w:val="21CC717D"/>
    <w:rsid w:val="220821C8"/>
    <w:rsid w:val="22424AA4"/>
    <w:rsid w:val="22F62B8A"/>
    <w:rsid w:val="23254D08"/>
    <w:rsid w:val="23534E2B"/>
    <w:rsid w:val="23C93BD9"/>
    <w:rsid w:val="23F073B8"/>
    <w:rsid w:val="242C02D7"/>
    <w:rsid w:val="24533DC2"/>
    <w:rsid w:val="2532334D"/>
    <w:rsid w:val="26750FF7"/>
    <w:rsid w:val="26C80178"/>
    <w:rsid w:val="27194423"/>
    <w:rsid w:val="27290FC5"/>
    <w:rsid w:val="27E56B08"/>
    <w:rsid w:val="28FE41FC"/>
    <w:rsid w:val="29345C52"/>
    <w:rsid w:val="293B7327"/>
    <w:rsid w:val="295B52D4"/>
    <w:rsid w:val="2996274E"/>
    <w:rsid w:val="2A4648B7"/>
    <w:rsid w:val="2AEF13B8"/>
    <w:rsid w:val="2B005440"/>
    <w:rsid w:val="2B3929B8"/>
    <w:rsid w:val="2C03574A"/>
    <w:rsid w:val="2C7B3B05"/>
    <w:rsid w:val="2CC277F5"/>
    <w:rsid w:val="2E5E7AF7"/>
    <w:rsid w:val="2EE73822"/>
    <w:rsid w:val="2FAD4FD9"/>
    <w:rsid w:val="2FB346FB"/>
    <w:rsid w:val="2FFA5778"/>
    <w:rsid w:val="30204B81"/>
    <w:rsid w:val="30495C84"/>
    <w:rsid w:val="30650005"/>
    <w:rsid w:val="310333AD"/>
    <w:rsid w:val="31522189"/>
    <w:rsid w:val="3172742B"/>
    <w:rsid w:val="326302C6"/>
    <w:rsid w:val="329E6CD8"/>
    <w:rsid w:val="33440753"/>
    <w:rsid w:val="33773E42"/>
    <w:rsid w:val="338B2C59"/>
    <w:rsid w:val="33CF2B46"/>
    <w:rsid w:val="34E14EA2"/>
    <w:rsid w:val="34E346A0"/>
    <w:rsid w:val="3533516F"/>
    <w:rsid w:val="35910B1D"/>
    <w:rsid w:val="359B1151"/>
    <w:rsid w:val="35AD49A2"/>
    <w:rsid w:val="36172BC3"/>
    <w:rsid w:val="36795ABE"/>
    <w:rsid w:val="36CC7C95"/>
    <w:rsid w:val="36EB650A"/>
    <w:rsid w:val="378133A9"/>
    <w:rsid w:val="37F72F80"/>
    <w:rsid w:val="383A233E"/>
    <w:rsid w:val="39101F1B"/>
    <w:rsid w:val="392C67CD"/>
    <w:rsid w:val="392D7EB3"/>
    <w:rsid w:val="39720FC7"/>
    <w:rsid w:val="39CD52E9"/>
    <w:rsid w:val="3A64388F"/>
    <w:rsid w:val="3AAA1C17"/>
    <w:rsid w:val="3B0B043D"/>
    <w:rsid w:val="3BDF2457"/>
    <w:rsid w:val="3C447E49"/>
    <w:rsid w:val="3D23372C"/>
    <w:rsid w:val="3DF80C94"/>
    <w:rsid w:val="3DFA2EB5"/>
    <w:rsid w:val="3E064F5A"/>
    <w:rsid w:val="3E161B6B"/>
    <w:rsid w:val="3E2E5B1F"/>
    <w:rsid w:val="3E7F5998"/>
    <w:rsid w:val="3F0056DB"/>
    <w:rsid w:val="3F1A3023"/>
    <w:rsid w:val="3F243A9D"/>
    <w:rsid w:val="3F6D3234"/>
    <w:rsid w:val="40350295"/>
    <w:rsid w:val="406E1D8D"/>
    <w:rsid w:val="411F2AA4"/>
    <w:rsid w:val="41F145CF"/>
    <w:rsid w:val="42053C57"/>
    <w:rsid w:val="42214BD9"/>
    <w:rsid w:val="422B44D2"/>
    <w:rsid w:val="42324DFA"/>
    <w:rsid w:val="431353F3"/>
    <w:rsid w:val="433F136A"/>
    <w:rsid w:val="43455446"/>
    <w:rsid w:val="4407489E"/>
    <w:rsid w:val="4464552C"/>
    <w:rsid w:val="447A0B16"/>
    <w:rsid w:val="44DA072F"/>
    <w:rsid w:val="454D0F8E"/>
    <w:rsid w:val="45FC0A54"/>
    <w:rsid w:val="461D469A"/>
    <w:rsid w:val="466976E6"/>
    <w:rsid w:val="46C70E8D"/>
    <w:rsid w:val="46EA0CE7"/>
    <w:rsid w:val="470D4256"/>
    <w:rsid w:val="472208AE"/>
    <w:rsid w:val="47704C41"/>
    <w:rsid w:val="47B925F3"/>
    <w:rsid w:val="48910AEC"/>
    <w:rsid w:val="48B3170D"/>
    <w:rsid w:val="493C7DE9"/>
    <w:rsid w:val="49804BB7"/>
    <w:rsid w:val="4A1E13B4"/>
    <w:rsid w:val="4A2C49B0"/>
    <w:rsid w:val="4A7D1B0F"/>
    <w:rsid w:val="4AAC50D1"/>
    <w:rsid w:val="4ACF7478"/>
    <w:rsid w:val="4B0709C0"/>
    <w:rsid w:val="4C0513A3"/>
    <w:rsid w:val="4C5A2B74"/>
    <w:rsid w:val="4CCE79E7"/>
    <w:rsid w:val="4CEB3171"/>
    <w:rsid w:val="4CF46CCF"/>
    <w:rsid w:val="4D2D20D9"/>
    <w:rsid w:val="4DA074F7"/>
    <w:rsid w:val="4DA33F07"/>
    <w:rsid w:val="4DDE52C0"/>
    <w:rsid w:val="4E265601"/>
    <w:rsid w:val="4E704ACE"/>
    <w:rsid w:val="4EA03605"/>
    <w:rsid w:val="50695CCD"/>
    <w:rsid w:val="50A1397F"/>
    <w:rsid w:val="50D86B92"/>
    <w:rsid w:val="50DE2BDB"/>
    <w:rsid w:val="51C75DFE"/>
    <w:rsid w:val="51CB0152"/>
    <w:rsid w:val="52741FCB"/>
    <w:rsid w:val="52D06B10"/>
    <w:rsid w:val="53536515"/>
    <w:rsid w:val="536B21BA"/>
    <w:rsid w:val="53A862CC"/>
    <w:rsid w:val="542A0FDA"/>
    <w:rsid w:val="54705828"/>
    <w:rsid w:val="54ED53D0"/>
    <w:rsid w:val="55091CCC"/>
    <w:rsid w:val="55E1316A"/>
    <w:rsid w:val="56220DA3"/>
    <w:rsid w:val="56307253"/>
    <w:rsid w:val="56453199"/>
    <w:rsid w:val="56D134F3"/>
    <w:rsid w:val="56D90F7A"/>
    <w:rsid w:val="582F6DAB"/>
    <w:rsid w:val="5881717A"/>
    <w:rsid w:val="58AD45AF"/>
    <w:rsid w:val="58D4718C"/>
    <w:rsid w:val="59A82CA5"/>
    <w:rsid w:val="59DB51C5"/>
    <w:rsid w:val="5A0E1D6B"/>
    <w:rsid w:val="5A8B4F15"/>
    <w:rsid w:val="5AD536B4"/>
    <w:rsid w:val="5AEA4CCC"/>
    <w:rsid w:val="5AFE4C55"/>
    <w:rsid w:val="5B031B11"/>
    <w:rsid w:val="5B96574B"/>
    <w:rsid w:val="5C59473E"/>
    <w:rsid w:val="5C5A652B"/>
    <w:rsid w:val="5CB36BF9"/>
    <w:rsid w:val="5DCE1149"/>
    <w:rsid w:val="5DE138D8"/>
    <w:rsid w:val="5E1921ED"/>
    <w:rsid w:val="5F7D5E8E"/>
    <w:rsid w:val="5F7F522A"/>
    <w:rsid w:val="5FFE462F"/>
    <w:rsid w:val="601337BB"/>
    <w:rsid w:val="618D7A19"/>
    <w:rsid w:val="62843C67"/>
    <w:rsid w:val="62A87E16"/>
    <w:rsid w:val="62CA561A"/>
    <w:rsid w:val="6313315F"/>
    <w:rsid w:val="635A1398"/>
    <w:rsid w:val="63CD6C1F"/>
    <w:rsid w:val="649534F1"/>
    <w:rsid w:val="64A56430"/>
    <w:rsid w:val="65BB2793"/>
    <w:rsid w:val="667027CF"/>
    <w:rsid w:val="6688694C"/>
    <w:rsid w:val="67271327"/>
    <w:rsid w:val="67A74CF5"/>
    <w:rsid w:val="68245589"/>
    <w:rsid w:val="68777DD2"/>
    <w:rsid w:val="69983CE0"/>
    <w:rsid w:val="69BA1B83"/>
    <w:rsid w:val="6A1C1694"/>
    <w:rsid w:val="6A751DB0"/>
    <w:rsid w:val="6AB95533"/>
    <w:rsid w:val="6B037E0E"/>
    <w:rsid w:val="6BDE41BB"/>
    <w:rsid w:val="6C5462A8"/>
    <w:rsid w:val="6C917FD7"/>
    <w:rsid w:val="6FFE7D34"/>
    <w:rsid w:val="70D15130"/>
    <w:rsid w:val="71104E0E"/>
    <w:rsid w:val="71BB7860"/>
    <w:rsid w:val="72440385"/>
    <w:rsid w:val="72EB0A43"/>
    <w:rsid w:val="730438B3"/>
    <w:rsid w:val="73761484"/>
    <w:rsid w:val="74371336"/>
    <w:rsid w:val="743F3C99"/>
    <w:rsid w:val="74835482"/>
    <w:rsid w:val="74877DC7"/>
    <w:rsid w:val="75890D8F"/>
    <w:rsid w:val="75B043EA"/>
    <w:rsid w:val="76D90F68"/>
    <w:rsid w:val="779748E5"/>
    <w:rsid w:val="77C1540B"/>
    <w:rsid w:val="77E43CB3"/>
    <w:rsid w:val="783E7320"/>
    <w:rsid w:val="789E42EB"/>
    <w:rsid w:val="78AC657F"/>
    <w:rsid w:val="78CB19C0"/>
    <w:rsid w:val="78F35EFE"/>
    <w:rsid w:val="78FF5669"/>
    <w:rsid w:val="793275BA"/>
    <w:rsid w:val="79A724F1"/>
    <w:rsid w:val="7A4B7878"/>
    <w:rsid w:val="7A6D100D"/>
    <w:rsid w:val="7B69409E"/>
    <w:rsid w:val="7C207C3B"/>
    <w:rsid w:val="7C5F16F8"/>
    <w:rsid w:val="7C9D3E10"/>
    <w:rsid w:val="7CAF2E48"/>
    <w:rsid w:val="7CB122FF"/>
    <w:rsid w:val="7CED0E28"/>
    <w:rsid w:val="7D841F96"/>
    <w:rsid w:val="7DAE3DC6"/>
    <w:rsid w:val="7DB61C4E"/>
    <w:rsid w:val="7DBA67DE"/>
    <w:rsid w:val="7DF53ACA"/>
    <w:rsid w:val="7E753CBB"/>
    <w:rsid w:val="7E9C6AB3"/>
    <w:rsid w:val="7EB4296F"/>
    <w:rsid w:val="7F0E4C61"/>
    <w:rsid w:val="7F7F4C0B"/>
    <w:rsid w:val="7F8F6BFA"/>
    <w:rsid w:val="7FA75CF2"/>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Char"/>
    <w:basedOn w:val="8"/>
    <w:link w:val="4"/>
    <w:autoRedefine/>
    <w:qFormat/>
    <w:uiPriority w:val="0"/>
    <w:rPr>
      <w:rFonts w:asciiTheme="minorHAnsi" w:hAnsiTheme="minorHAnsi" w:eastAsiaTheme="minorEastAsia" w:cstheme="minorBidi"/>
      <w:kern w:val="2"/>
      <w:sz w:val="18"/>
      <w:szCs w:val="18"/>
    </w:rPr>
  </w:style>
  <w:style w:type="paragraph" w:customStyle="1" w:styleId="11">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40</Pages>
  <Words>21045</Words>
  <Characters>22217</Characters>
  <Lines>178</Lines>
  <Paragraphs>50</Paragraphs>
  <TotalTime>0</TotalTime>
  <ScaleCrop>false</ScaleCrop>
  <LinksUpToDate>false</LinksUpToDate>
  <CharactersWithSpaces>24359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2024-10-21T02:25:56Z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ADE4FA08DC4C4C4AADF4D69ADC441794_13</vt:lpwstr>
  </property>
</Properties>
</file>