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pPr>
      <w:bookmarkStart w:id="0" w:name="OLE_LINK1"/>
      <w:bookmarkStart w:id="34" w:name="_GoBack"/>
      <w:bookmarkEnd w:id="34"/>
      <w:r>
        <w:rPr>
          <w:rFonts w:eastAsia="方正小标宋_GBK"/>
          <w:sz w:val="44"/>
          <w:szCs w:val="44"/>
        </w:rPr>
        <w:t>盐城市建设工程项目招标投标工作指南</w:t>
      </w:r>
    </w:p>
    <w:p>
      <w:pPr>
        <w:spacing w:line="200" w:lineRule="exact"/>
        <w:rPr>
          <w:rFonts w:eastAsia="方正楷体_GBK"/>
          <w:sz w:val="32"/>
          <w:szCs w:val="32"/>
        </w:rPr>
      </w:pPr>
    </w:p>
    <w:p>
      <w:pPr>
        <w:spacing w:line="578" w:lineRule="exact"/>
        <w:jc w:val="center"/>
        <w:rPr>
          <w:rFonts w:eastAsia="方正楷体_GBK"/>
          <w:sz w:val="32"/>
          <w:szCs w:val="32"/>
        </w:rPr>
      </w:pPr>
      <w:r>
        <w:rPr>
          <w:rFonts w:eastAsia="方正楷体_GBK"/>
          <w:sz w:val="32"/>
          <w:szCs w:val="32"/>
        </w:rPr>
        <w:t>（2024版）</w:t>
      </w:r>
    </w:p>
    <w:p>
      <w:pPr>
        <w:spacing w:line="579" w:lineRule="exact"/>
        <w:ind w:firstLine="640" w:firstLineChars="200"/>
        <w:outlineLvl w:val="0"/>
        <w:rPr>
          <w:rFonts w:eastAsia="黑体"/>
          <w:sz w:val="32"/>
          <w:szCs w:val="32"/>
        </w:rPr>
      </w:pPr>
      <w:r>
        <w:rPr>
          <w:rFonts w:eastAsia="黑体"/>
          <w:sz w:val="32"/>
          <w:szCs w:val="32"/>
        </w:rPr>
        <w:t>一、编制目的</w:t>
      </w:r>
    </w:p>
    <w:p>
      <w:pPr>
        <w:spacing w:line="579" w:lineRule="exact"/>
        <w:ind w:firstLine="640" w:firstLineChars="200"/>
        <w:rPr>
          <w:rFonts w:eastAsia="方正仿宋_GBK"/>
          <w:sz w:val="32"/>
          <w:szCs w:val="32"/>
        </w:rPr>
      </w:pPr>
      <w:r>
        <w:rPr>
          <w:rFonts w:eastAsia="方正仿宋_GBK"/>
          <w:sz w:val="32"/>
          <w:szCs w:val="32"/>
        </w:rPr>
        <w:t>为进一步规范全市房屋建筑与市政基础设施工程项目招投标工作，指导相关单位规范参与全市建设工程项目招标投标活动，保护国家利益、社会公共利益和招投标活动当事人的合法权益，提高招投标工作效率，推动盐城建设工程招投标市场健康、有序发展，编制本指南。</w:t>
      </w:r>
    </w:p>
    <w:p>
      <w:pPr>
        <w:spacing w:line="579" w:lineRule="exact"/>
        <w:ind w:firstLine="640" w:firstLineChars="200"/>
        <w:outlineLvl w:val="0"/>
        <w:rPr>
          <w:rFonts w:eastAsia="黑体"/>
          <w:sz w:val="32"/>
          <w:szCs w:val="32"/>
        </w:rPr>
      </w:pPr>
      <w:r>
        <w:rPr>
          <w:rFonts w:eastAsia="黑体"/>
          <w:sz w:val="32"/>
          <w:szCs w:val="32"/>
        </w:rPr>
        <w:t>二、适用范围</w:t>
      </w:r>
    </w:p>
    <w:p>
      <w:pPr>
        <w:spacing w:line="579" w:lineRule="exact"/>
        <w:ind w:firstLine="640" w:firstLineChars="200"/>
        <w:rPr>
          <w:rFonts w:eastAsia="仿宋_GB2312"/>
          <w:sz w:val="32"/>
          <w:szCs w:val="32"/>
        </w:rPr>
      </w:pPr>
      <w:r>
        <w:rPr>
          <w:rFonts w:eastAsia="方正仿宋_GBK"/>
          <w:sz w:val="32"/>
          <w:szCs w:val="32"/>
        </w:rPr>
        <w:t>全市各级招投标行政监督部门监管的房屋建筑与市政基础设施工程项目招标投标工作，适用本工作指南。</w:t>
      </w:r>
    </w:p>
    <w:p>
      <w:pPr>
        <w:spacing w:line="579" w:lineRule="exact"/>
        <w:ind w:firstLine="640" w:firstLineChars="200"/>
        <w:outlineLvl w:val="0"/>
        <w:rPr>
          <w:rFonts w:eastAsia="黑体"/>
          <w:sz w:val="32"/>
          <w:szCs w:val="32"/>
        </w:rPr>
      </w:pPr>
      <w:r>
        <w:rPr>
          <w:rFonts w:eastAsia="黑体"/>
          <w:sz w:val="32"/>
          <w:szCs w:val="32"/>
        </w:rPr>
        <w:t>三、编制依据</w:t>
      </w:r>
    </w:p>
    <w:p>
      <w:pPr>
        <w:spacing w:line="579" w:lineRule="exact"/>
        <w:ind w:firstLine="640" w:firstLineChars="200"/>
        <w:rPr>
          <w:rFonts w:eastAsia="方正仿宋_GBK"/>
          <w:sz w:val="32"/>
          <w:szCs w:val="32"/>
        </w:rPr>
      </w:pPr>
      <w:r>
        <w:rPr>
          <w:rFonts w:eastAsia="方正仿宋_GBK"/>
          <w:sz w:val="32"/>
          <w:szCs w:val="32"/>
        </w:rPr>
        <w:t>《中华人民共和国招标投标法》《中华人民共和国招标投标法实施条例》《必须招标的工程项目规定》（国家发展和改革委第16号令）、《必须招标的基础设施和公用事业项目范围规定》（发改法规〔2018〕843号）、《江苏省国有资金投资工程建设项目招标投标管理办法》（江苏省人民政府第120号令）、《工程建设项目招标投标活动投诉处理办法》（九部委令第23号修改）、《江苏省招标投标条例》（2023年修订版）等现行有效的法律法规和规范性文件，目录详见附件1。</w:t>
      </w:r>
    </w:p>
    <w:p>
      <w:pPr>
        <w:spacing w:line="579" w:lineRule="exact"/>
        <w:ind w:firstLine="640" w:firstLineChars="200"/>
        <w:outlineLvl w:val="0"/>
        <w:rPr>
          <w:rFonts w:eastAsia="黑体"/>
          <w:sz w:val="32"/>
          <w:szCs w:val="32"/>
        </w:rPr>
      </w:pPr>
      <w:r>
        <w:rPr>
          <w:rFonts w:eastAsia="黑体"/>
          <w:sz w:val="32"/>
          <w:szCs w:val="32"/>
        </w:rPr>
        <w:t>四、阶段工作指引</w:t>
      </w:r>
    </w:p>
    <w:p>
      <w:pPr>
        <w:spacing w:line="579" w:lineRule="exact"/>
        <w:ind w:firstLine="640" w:firstLineChars="200"/>
        <w:rPr>
          <w:rFonts w:eastAsia="方正楷体_GBK"/>
          <w:bCs/>
          <w:sz w:val="32"/>
          <w:szCs w:val="32"/>
        </w:rPr>
      </w:pPr>
      <w:r>
        <w:rPr>
          <w:rFonts w:eastAsia="方正楷体_GBK"/>
          <w:bCs/>
          <w:sz w:val="32"/>
          <w:szCs w:val="32"/>
        </w:rPr>
        <w:t>（一）招标准备阶段</w:t>
      </w:r>
    </w:p>
    <w:p>
      <w:pPr>
        <w:spacing w:line="579" w:lineRule="exact"/>
        <w:ind w:firstLine="643" w:firstLineChars="200"/>
        <w:rPr>
          <w:rFonts w:eastAsia="方正仿宋_GBK"/>
          <w:b/>
          <w:bCs/>
          <w:sz w:val="32"/>
          <w:szCs w:val="32"/>
        </w:rPr>
      </w:pPr>
      <w:r>
        <w:rPr>
          <w:rFonts w:eastAsia="方正仿宋_GBK"/>
          <w:b/>
          <w:bCs/>
          <w:sz w:val="32"/>
          <w:szCs w:val="32"/>
        </w:rPr>
        <w:t>1．招标前置条件</w:t>
      </w:r>
    </w:p>
    <w:p>
      <w:pPr>
        <w:spacing w:line="579" w:lineRule="exact"/>
        <w:ind w:firstLine="640" w:firstLineChars="200"/>
        <w:rPr>
          <w:rFonts w:eastAsia="方正仿宋_GBK"/>
          <w:sz w:val="32"/>
          <w:szCs w:val="32"/>
        </w:rPr>
      </w:pPr>
      <w:r>
        <w:rPr>
          <w:rFonts w:eastAsia="方正仿宋_GBK"/>
          <w:sz w:val="32"/>
          <w:szCs w:val="32"/>
        </w:rPr>
        <w:t>（1）招标投标活动实行招标人负责制；依法必须进行招标的项目的招标人应当建立健全招标投标事项合法合规审查、专家咨询、集体决策等内部控制制度，明确工作程序和岗位职责；在组织招标前，按照权责匹配原则确定主要负责人和相关负责人；工程招标应当具备相应的条件，招标人可以自行决定开始招标活动，并自行承担因项目各种条件变化而导致招标失败的风险和责任。</w:t>
      </w:r>
    </w:p>
    <w:p>
      <w:pPr>
        <w:spacing w:line="579" w:lineRule="exact"/>
        <w:ind w:firstLine="640" w:firstLineChars="200"/>
        <w:rPr>
          <w:rFonts w:eastAsia="方正仿宋_GBK"/>
          <w:sz w:val="32"/>
          <w:szCs w:val="32"/>
        </w:rPr>
      </w:pPr>
      <w:r>
        <w:rPr>
          <w:rFonts w:eastAsia="方正仿宋_GBK"/>
          <w:sz w:val="32"/>
          <w:szCs w:val="32"/>
        </w:rPr>
        <w:t>（2）遵守国家关于必须招标的工程项目规定，全市行政区域内国有资金占控股或主导地位的房屋建筑与市政基础设施工程项目，符合《必须招标的工程项目规定》和《必须招标的基础设施和公用事业项目范围规定》要求的项目，应招必招。属于依法必须进行招标的项目，任何单位和个人不得以任何方式规避招标。</w:t>
      </w:r>
    </w:p>
    <w:p>
      <w:pPr>
        <w:spacing w:line="579" w:lineRule="exact"/>
        <w:ind w:firstLine="640" w:firstLineChars="200"/>
        <w:rPr>
          <w:rFonts w:eastAsia="方正仿宋_GBK"/>
          <w:sz w:val="32"/>
          <w:szCs w:val="32"/>
        </w:rPr>
      </w:pPr>
      <w:r>
        <w:rPr>
          <w:rFonts w:eastAsia="方正仿宋_GBK"/>
          <w:sz w:val="32"/>
          <w:szCs w:val="32"/>
        </w:rPr>
        <w:t>（3）招标项目应履行项目审批或者核准手续（建设单位应当在发包前完成项目审批、核准或者备案程序，初步设计及概算应当履行审批手续的已经批准），其招标范围、招标方式、招标组织形式应当报项目审批、核准部门审批、核准，招标人不得擅自变更；有相应的资金或资金来源已经落实；施工招标还应当具备招标所需的设计图纸和技术资料，并应采用工程量清单计价。</w:t>
      </w:r>
    </w:p>
    <w:p>
      <w:pPr>
        <w:spacing w:line="579" w:lineRule="exact"/>
        <w:ind w:firstLine="643" w:firstLineChars="200"/>
        <w:rPr>
          <w:rFonts w:eastAsia="方正仿宋_GBK"/>
          <w:b/>
          <w:bCs/>
          <w:sz w:val="32"/>
          <w:szCs w:val="32"/>
        </w:rPr>
      </w:pPr>
      <w:r>
        <w:rPr>
          <w:rFonts w:eastAsia="方正仿宋_GBK"/>
          <w:b/>
          <w:bCs/>
          <w:sz w:val="32"/>
          <w:szCs w:val="32"/>
        </w:rPr>
        <w:t>2．招标组织形式</w:t>
      </w:r>
    </w:p>
    <w:p>
      <w:pPr>
        <w:shd w:val="clear" w:color="auto" w:fill="FFFFFF"/>
        <w:spacing w:line="579" w:lineRule="exact"/>
        <w:ind w:firstLine="640"/>
        <w:jc w:val="left"/>
        <w:rPr>
          <w:rFonts w:eastAsia="仿宋"/>
          <w:bCs/>
          <w:sz w:val="32"/>
          <w:szCs w:val="32"/>
        </w:rPr>
      </w:pPr>
      <w:r>
        <w:rPr>
          <w:rFonts w:eastAsia="仿宋"/>
          <w:bCs/>
          <w:sz w:val="32"/>
          <w:szCs w:val="32"/>
        </w:rPr>
        <w:t>（1）招标分为公开招标和邀请招标。国有资金占控股或者主导地位的建设工程项目的施工、货物、服务，以单项合同估算价是否达到依法必须招标的规模标准确定是否必须招标发包（不受项目总投资额大小的限制）。但同一工程建设项目12个月内发生的同类勘察、施工、监理以及与工程建设有关的重要设备、材料等的采购，总估算价达到规定标准的，必须进行招标。</w:t>
      </w:r>
    </w:p>
    <w:p>
      <w:pPr>
        <w:shd w:val="clear" w:color="auto" w:fill="FFFFFF"/>
        <w:spacing w:line="579" w:lineRule="exact"/>
        <w:ind w:firstLine="640"/>
        <w:jc w:val="left"/>
        <w:rPr>
          <w:rFonts w:eastAsia="仿宋"/>
          <w:bCs/>
          <w:sz w:val="32"/>
          <w:szCs w:val="32"/>
        </w:rPr>
      </w:pPr>
      <w:r>
        <w:rPr>
          <w:rFonts w:eastAsia="仿宋"/>
          <w:bCs/>
          <w:sz w:val="32"/>
          <w:szCs w:val="32"/>
        </w:rPr>
        <w:t>但有下列情形之一的，经依法认定，可以邀请招标：</w:t>
      </w:r>
    </w:p>
    <w:p>
      <w:pPr>
        <w:spacing w:line="579" w:lineRule="exact"/>
        <w:ind w:firstLine="640" w:firstLineChars="200"/>
        <w:rPr>
          <w:rFonts w:eastAsia="方正仿宋_GBK"/>
          <w:sz w:val="32"/>
          <w:szCs w:val="32"/>
        </w:rPr>
      </w:pPr>
      <w:r>
        <w:rPr>
          <w:rFonts w:hint="eastAsia" w:ascii="宋体" w:hAnsi="宋体" w:cs="宋体"/>
          <w:sz w:val="32"/>
          <w:szCs w:val="32"/>
        </w:rPr>
        <w:t>①</w:t>
      </w:r>
      <w:r>
        <w:rPr>
          <w:rFonts w:eastAsia="方正仿宋_GBK"/>
          <w:sz w:val="32"/>
          <w:szCs w:val="32"/>
        </w:rPr>
        <w:t>技术复杂、有特殊要求或者受自然环境限制，只有少量潜在投标人可供选择；</w:t>
      </w:r>
    </w:p>
    <w:p>
      <w:pPr>
        <w:spacing w:line="579" w:lineRule="exact"/>
        <w:ind w:firstLine="640" w:firstLineChars="200"/>
        <w:rPr>
          <w:rFonts w:eastAsia="方正仿宋_GBK"/>
          <w:sz w:val="32"/>
          <w:szCs w:val="32"/>
        </w:rPr>
      </w:pPr>
      <w:r>
        <w:rPr>
          <w:rFonts w:hint="eastAsia" w:ascii="宋体" w:hAnsi="宋体" w:cs="宋体"/>
          <w:sz w:val="32"/>
          <w:szCs w:val="32"/>
        </w:rPr>
        <w:t>②</w:t>
      </w:r>
      <w:r>
        <w:rPr>
          <w:rFonts w:eastAsia="方正仿宋_GBK"/>
          <w:sz w:val="32"/>
          <w:szCs w:val="32"/>
        </w:rPr>
        <w:t>采用公开招标方式的费用占项目合同金额的比例过大；</w:t>
      </w:r>
    </w:p>
    <w:p>
      <w:pPr>
        <w:spacing w:line="579" w:lineRule="exact"/>
        <w:ind w:firstLine="640" w:firstLineChars="200"/>
        <w:rPr>
          <w:rFonts w:eastAsia="方正仿宋_GBK"/>
          <w:sz w:val="32"/>
          <w:szCs w:val="32"/>
        </w:rPr>
      </w:pPr>
      <w:r>
        <w:rPr>
          <w:rFonts w:hint="eastAsia" w:ascii="宋体" w:hAnsi="宋体" w:cs="宋体"/>
          <w:sz w:val="32"/>
          <w:szCs w:val="32"/>
        </w:rPr>
        <w:t>③</w:t>
      </w:r>
      <w:r>
        <w:rPr>
          <w:rFonts w:eastAsia="方正仿宋_GBK"/>
          <w:sz w:val="32"/>
          <w:szCs w:val="32"/>
        </w:rPr>
        <w:t>法律、行政法规或者国家规定的其他情形。</w:t>
      </w:r>
    </w:p>
    <w:p>
      <w:pPr>
        <w:spacing w:line="579" w:lineRule="exact"/>
        <w:ind w:firstLine="640" w:firstLineChars="200"/>
        <w:rPr>
          <w:rFonts w:eastAsia="方正仿宋_GBK"/>
          <w:sz w:val="32"/>
          <w:szCs w:val="32"/>
        </w:rPr>
      </w:pPr>
      <w:r>
        <w:rPr>
          <w:rFonts w:eastAsia="方正仿宋_GBK"/>
          <w:sz w:val="32"/>
          <w:szCs w:val="32"/>
        </w:rPr>
        <w:t>（2）招标人有权自主选择招标代理机构，委托其办理招标事宜。任何单位和个人不得以任何方式为其指定代理机构，也不得违法限定招标人选择招标代理机构的方式或者范围。招标代理机构应当具备所代理项目相应的能力和水平，组建的项目组至少有三名以上熟悉和掌握招标投标法律法规并具有招标业务能力的人员。</w:t>
      </w:r>
    </w:p>
    <w:p>
      <w:pPr>
        <w:numPr>
          <w:ilvl w:val="0"/>
          <w:numId w:val="2"/>
        </w:numPr>
        <w:spacing w:line="579" w:lineRule="exact"/>
        <w:ind w:firstLine="640"/>
        <w:rPr>
          <w:rFonts w:eastAsia="方正仿宋_GBK"/>
          <w:sz w:val="32"/>
          <w:szCs w:val="32"/>
        </w:rPr>
      </w:pPr>
      <w:r>
        <w:rPr>
          <w:rFonts w:eastAsia="方正仿宋_GBK"/>
          <w:sz w:val="32"/>
          <w:szCs w:val="32"/>
        </w:rPr>
        <w:t>招标人具有策划招标方案、编制招标文件、组织资格审查、组织开标、组织评标和处理异议能力的，可以自行办理招标事宜。依法必须进行招标的项目，招标人自行办理招标事宜的，应当有与招标项目规模和复杂程度相适应的技术、经济等方面的专业人员，有专门的招标机构或者三名以上熟悉和掌握招标投标法律法规并具有招标业务能力的人员。</w:t>
      </w:r>
    </w:p>
    <w:p>
      <w:pPr>
        <w:spacing w:line="579" w:lineRule="exact"/>
        <w:ind w:firstLine="640" w:firstLineChars="200"/>
        <w:rPr>
          <w:rFonts w:eastAsia="方正仿宋_GBK"/>
          <w:sz w:val="32"/>
          <w:szCs w:val="32"/>
        </w:rPr>
      </w:pPr>
      <w:r>
        <w:rPr>
          <w:rFonts w:eastAsia="方正仿宋_GBK"/>
          <w:sz w:val="32"/>
          <w:szCs w:val="32"/>
        </w:rPr>
        <w:t>招标人自行招标的，应当在提交发包初步方案的同时，就自行招标事宜向招投标监管机构备案。</w:t>
      </w:r>
    </w:p>
    <w:p>
      <w:pPr>
        <w:numPr>
          <w:ilvl w:val="0"/>
          <w:numId w:val="2"/>
        </w:numPr>
        <w:spacing w:line="579" w:lineRule="exact"/>
        <w:ind w:firstLine="640"/>
        <w:rPr>
          <w:rFonts w:eastAsia="方正仿宋_GBK"/>
          <w:sz w:val="32"/>
          <w:szCs w:val="32"/>
        </w:rPr>
      </w:pPr>
      <w:r>
        <w:rPr>
          <w:rFonts w:eastAsia="方正仿宋_GBK"/>
          <w:sz w:val="32"/>
          <w:szCs w:val="32"/>
        </w:rPr>
        <w:t>依法必须进行招标的项目应当采用电子招标投标方式。国有资金占控股或者主导地位的依法必须进行招标的项目，按照国家、省有关规定拟邀请招标或不进行招标的，除涉及国家秘密或者商业秘密外，应当在实施采购前通过省招标投标公共服务平台公示具体理由和法律法规依据。</w:t>
      </w:r>
    </w:p>
    <w:p>
      <w:pPr>
        <w:numPr>
          <w:ilvl w:val="0"/>
          <w:numId w:val="2"/>
        </w:numPr>
        <w:spacing w:line="579" w:lineRule="exact"/>
        <w:ind w:firstLine="640"/>
        <w:rPr>
          <w:rFonts w:eastAsia="方正仿宋_GBK"/>
          <w:sz w:val="32"/>
          <w:szCs w:val="32"/>
        </w:rPr>
      </w:pPr>
      <w:r>
        <w:rPr>
          <w:rFonts w:eastAsia="方正仿宋_GBK"/>
          <w:sz w:val="32"/>
          <w:szCs w:val="32"/>
        </w:rPr>
        <w:t>招标人不得违法发包，招标项目需要划分标段、确定工期的，招标人应当合理划分标段、确定工期，并在招标文件中载明。依法必须进行招标的项目的招标人不得利用划分标段限制或者排斥潜在投标人或规避招标。国有资金参与投资且占控股或主导地位的项目带头推行工程总承包和全过程工程咨询。采用工程总承包发包的项目部分建设内容在招投标时还不确定的专业工程，可按专业工程暂估价计入工程造价。</w:t>
      </w:r>
    </w:p>
    <w:p>
      <w:pPr>
        <w:spacing w:line="579" w:lineRule="exact"/>
        <w:ind w:firstLine="643" w:firstLineChars="200"/>
        <w:rPr>
          <w:rFonts w:eastAsia="方正仿宋_GBK"/>
          <w:b/>
          <w:bCs/>
          <w:sz w:val="32"/>
          <w:szCs w:val="32"/>
        </w:rPr>
      </w:pPr>
      <w:r>
        <w:rPr>
          <w:rFonts w:eastAsia="方正仿宋_GBK"/>
          <w:b/>
          <w:bCs/>
          <w:sz w:val="32"/>
          <w:szCs w:val="32"/>
        </w:rPr>
        <w:t>3．招标文件编制</w:t>
      </w:r>
    </w:p>
    <w:p>
      <w:pPr>
        <w:spacing w:line="579" w:lineRule="exact"/>
        <w:ind w:firstLine="640" w:firstLineChars="200"/>
        <w:rPr>
          <w:rFonts w:eastAsia="方正仿宋_GBK"/>
          <w:sz w:val="32"/>
          <w:szCs w:val="32"/>
        </w:rPr>
      </w:pPr>
      <w:r>
        <w:rPr>
          <w:rFonts w:eastAsia="方正仿宋_GBK"/>
          <w:sz w:val="32"/>
          <w:szCs w:val="32"/>
        </w:rPr>
        <w:t>（1）招标人应依据发布的最新版标准招标文件，应用制作工具高质量编制电子招标文件，标准招标文件根据法律法规调整结合招投标实际在</w:t>
      </w:r>
      <w:r>
        <w:rPr>
          <w:rFonts w:eastAsia="仿宋"/>
          <w:kern w:val="0"/>
          <w:sz w:val="32"/>
          <w:szCs w:val="32"/>
        </w:rPr>
        <w:t>盐城市公共资源交易平台动态更新实时发布。</w:t>
      </w:r>
      <w:r>
        <w:rPr>
          <w:rFonts w:eastAsia="方正仿宋_GBK"/>
          <w:sz w:val="32"/>
          <w:szCs w:val="32"/>
        </w:rPr>
        <w:t>现行有效的标准招标文件目录详见附件2。招标文件发布前，招标人应对招标文件相关条款组织公平竞争审查、履行集体决策程序。招标文件中不得设置排除外地企业参加投标或其他歧视性条款，评标标准和方法中不得含有倾向或者排斥潜在投标人的内容，不得出现妨碍或者限制投标人之间的竞争等不合理条款。</w:t>
      </w:r>
    </w:p>
    <w:p>
      <w:pPr>
        <w:pStyle w:val="7"/>
        <w:spacing w:after="0" w:line="579" w:lineRule="exact"/>
        <w:ind w:firstLine="640" w:firstLineChars="200"/>
        <w:rPr>
          <w:rFonts w:eastAsia="方正仿宋_GBK"/>
        </w:rPr>
      </w:pPr>
      <w:r>
        <w:rPr>
          <w:rFonts w:eastAsia="方正仿宋_GBK"/>
          <w:sz w:val="32"/>
          <w:szCs w:val="32"/>
        </w:rPr>
        <w:t>（2）鼓励招标人通过市场调研、专家咨询论证等方式，明确招标需求，优化招标方案，提高编制招标文件质量。涉及公共利益、社会关注度较高以及技术复杂、专业性强的项目，鼓励招标人就招标文件征求社会公众或者行业内专家的意见。</w:t>
      </w:r>
    </w:p>
    <w:p>
      <w:pPr>
        <w:spacing w:line="579" w:lineRule="exact"/>
        <w:ind w:firstLine="640" w:firstLineChars="200"/>
        <w:rPr>
          <w:rFonts w:eastAsia="方正仿宋_GBK"/>
          <w:sz w:val="32"/>
          <w:szCs w:val="32"/>
        </w:rPr>
      </w:pPr>
      <w:r>
        <w:rPr>
          <w:rFonts w:eastAsia="方正仿宋_GBK"/>
          <w:sz w:val="32"/>
          <w:szCs w:val="32"/>
        </w:rPr>
        <w:t>（3）招标人应根据招标项目特点，确定投标人编制投标文件的合理时间。招标文件中明确投标人无需编制施工组织设计、服务大纲或设备安装调试方案等技术标评审内容的，自招标文件开始发出之日起至递交投标文件截止之日止不少于10日。</w:t>
      </w:r>
    </w:p>
    <w:p>
      <w:pPr>
        <w:spacing w:line="579" w:lineRule="exact"/>
        <w:ind w:firstLine="640" w:firstLineChars="200"/>
        <w:rPr>
          <w:rFonts w:eastAsia="方正仿宋_GBK"/>
          <w:sz w:val="32"/>
          <w:szCs w:val="32"/>
        </w:rPr>
      </w:pPr>
      <w:r>
        <w:rPr>
          <w:rFonts w:eastAsia="方正仿宋_GBK"/>
          <w:sz w:val="32"/>
          <w:szCs w:val="32"/>
        </w:rPr>
        <w:t>（4）招标人在编制招标文件过程中，须严格执行国家或行业强制性规范及各级住房和城乡建设行政主管部门的规范性文件，满足安全生产费用、农民工权益保障、扬尘污染防治、品质工程创建、平安工地创建、信用结果应用等领域的具体要求。</w:t>
      </w:r>
    </w:p>
    <w:p>
      <w:pPr>
        <w:pStyle w:val="7"/>
        <w:spacing w:after="0" w:line="579" w:lineRule="exact"/>
        <w:ind w:firstLine="640" w:firstLineChars="200"/>
        <w:rPr>
          <w:rFonts w:eastAsia="方正仿宋_GBK"/>
        </w:rPr>
      </w:pPr>
      <w:r>
        <w:rPr>
          <w:rFonts w:eastAsia="方正仿宋_GBK"/>
          <w:sz w:val="32"/>
          <w:szCs w:val="32"/>
        </w:rPr>
        <w:t>（5）资格预审文件或者招标文件中设定的资格合格条件和否决性条件应当清晰、明确，以醒目方式标明，并集中单列。否决性条件应当意思表示明确、易于判断。招标人需要对资格合格条件和否决性条件进行修改的，应当重新发布公告。未列明的否决性条件，不得作为否决投标或者判定无效标的依据。一般不得将装订、纸张、明显的文字错误等列为否决投标情形。</w:t>
      </w:r>
    </w:p>
    <w:p>
      <w:pPr>
        <w:pStyle w:val="7"/>
        <w:spacing w:after="0" w:line="579" w:lineRule="exact"/>
        <w:ind w:firstLine="640" w:firstLineChars="200"/>
        <w:rPr>
          <w:rFonts w:eastAsia="方正仿宋_GBK"/>
        </w:rPr>
      </w:pPr>
      <w:r>
        <w:rPr>
          <w:rFonts w:eastAsia="方正仿宋_GBK"/>
          <w:sz w:val="32"/>
          <w:szCs w:val="32"/>
        </w:rPr>
        <w:t>工程总承包项目，应按照《房屋建筑和市政基础设施项目工程总承包管理办法》（建市规﹝2019﹞12号）相关规定，设置工程总承包单位、工程总承包项目负责人资质、资格、业绩。</w:t>
      </w:r>
    </w:p>
    <w:p>
      <w:pPr>
        <w:numPr>
          <w:ilvl w:val="255"/>
          <w:numId w:val="0"/>
        </w:numPr>
        <w:spacing w:line="579" w:lineRule="exact"/>
        <w:ind w:firstLine="640" w:firstLineChars="200"/>
        <w:jc w:val="left"/>
        <w:rPr>
          <w:rFonts w:eastAsia="方正仿宋_GBK"/>
          <w:sz w:val="32"/>
          <w:szCs w:val="32"/>
        </w:rPr>
      </w:pPr>
      <w:r>
        <w:rPr>
          <w:rFonts w:eastAsia="方正仿宋_GBK"/>
          <w:sz w:val="32"/>
          <w:szCs w:val="32"/>
        </w:rPr>
        <w:t>（</w:t>
      </w:r>
      <w:r>
        <w:rPr>
          <w:rFonts w:hint="eastAsia" w:eastAsia="方正仿宋_GBK"/>
          <w:sz w:val="32"/>
          <w:szCs w:val="32"/>
        </w:rPr>
        <w:t>6</w:t>
      </w:r>
      <w:r>
        <w:rPr>
          <w:rFonts w:eastAsia="方正仿宋_GBK"/>
          <w:sz w:val="32"/>
          <w:szCs w:val="32"/>
        </w:rPr>
        <w:t>）招标人应当在招标文件中合理设置各类保证金。</w:t>
      </w:r>
    </w:p>
    <w:p>
      <w:pPr>
        <w:numPr>
          <w:ilvl w:val="255"/>
          <w:numId w:val="0"/>
        </w:numPr>
        <w:spacing w:line="579" w:lineRule="exact"/>
        <w:ind w:firstLine="640" w:firstLineChars="200"/>
        <w:jc w:val="left"/>
        <w:rPr>
          <w:rFonts w:eastAsia="方正仿宋_GBK"/>
          <w:sz w:val="32"/>
          <w:szCs w:val="32"/>
        </w:rPr>
      </w:pPr>
      <w:r>
        <w:rPr>
          <w:rFonts w:hint="eastAsia" w:ascii="宋体" w:hAnsi="宋体" w:cs="宋体"/>
          <w:sz w:val="32"/>
          <w:szCs w:val="32"/>
        </w:rPr>
        <w:t>①</w:t>
      </w:r>
      <w:r>
        <w:rPr>
          <w:rFonts w:eastAsia="方正仿宋_GBK"/>
          <w:sz w:val="32"/>
          <w:szCs w:val="32"/>
        </w:rPr>
        <w:t>招标人应当在招标文件中约定投标保证金数额，并明确允许投标人可采用现金、银行保函中的任何一种形式缴纳投标保证金,不得限制投标保证金的缴纳方式。</w:t>
      </w:r>
    </w:p>
    <w:p>
      <w:pPr>
        <w:numPr>
          <w:ilvl w:val="255"/>
          <w:numId w:val="0"/>
        </w:numPr>
        <w:spacing w:line="579" w:lineRule="exact"/>
        <w:ind w:firstLine="640" w:firstLineChars="200"/>
        <w:jc w:val="left"/>
        <w:rPr>
          <w:rFonts w:eastAsia="方正仿宋_GBK"/>
          <w:sz w:val="32"/>
          <w:szCs w:val="32"/>
        </w:rPr>
      </w:pPr>
      <w:r>
        <w:rPr>
          <w:rFonts w:hint="eastAsia" w:ascii="宋体" w:hAnsi="宋体" w:cs="宋体"/>
          <w:sz w:val="32"/>
          <w:szCs w:val="32"/>
        </w:rPr>
        <w:t>②</w:t>
      </w:r>
      <w:r>
        <w:rPr>
          <w:rFonts w:eastAsia="方正仿宋_GBK"/>
          <w:sz w:val="32"/>
          <w:szCs w:val="32"/>
        </w:rPr>
        <w:t>招标人应当在招标文件中明确投标保证金计息标准，建立健全本单位保证金收退长效管理机制，按规定退还各类保证金及利息（如有）。</w:t>
      </w:r>
    </w:p>
    <w:p>
      <w:pPr>
        <w:numPr>
          <w:ilvl w:val="255"/>
          <w:numId w:val="0"/>
        </w:numPr>
        <w:spacing w:line="579" w:lineRule="exact"/>
        <w:ind w:firstLine="640" w:firstLineChars="200"/>
        <w:jc w:val="left"/>
        <w:rPr>
          <w:rFonts w:eastAsia="方正仿宋_GBK"/>
          <w:sz w:val="32"/>
          <w:szCs w:val="32"/>
        </w:rPr>
      </w:pPr>
      <w:r>
        <w:rPr>
          <w:rFonts w:hint="eastAsia" w:ascii="宋体" w:hAnsi="宋体" w:cs="宋体"/>
          <w:sz w:val="32"/>
          <w:szCs w:val="32"/>
        </w:rPr>
        <w:t>③</w:t>
      </w:r>
      <w:r>
        <w:rPr>
          <w:rFonts w:eastAsia="方正仿宋_GBK"/>
          <w:sz w:val="32"/>
          <w:szCs w:val="32"/>
        </w:rPr>
        <w:t>为减少投标人的经济成本，鼓励招标人分标段招标时仅收取一份投标保证金；鼓励招标人接受担保机构的保函、保险机构的保单等非现金交易担保方式缴纳投标保证金、履约保证金、工程质量保证金。</w:t>
      </w:r>
    </w:p>
    <w:p>
      <w:pPr>
        <w:numPr>
          <w:ilvl w:val="255"/>
          <w:numId w:val="0"/>
        </w:numPr>
        <w:spacing w:line="579" w:lineRule="exact"/>
        <w:ind w:firstLine="640" w:firstLineChars="200"/>
        <w:jc w:val="left"/>
        <w:rPr>
          <w:rFonts w:eastAsia="方正仿宋_GBK"/>
          <w:sz w:val="32"/>
          <w:szCs w:val="32"/>
        </w:rPr>
      </w:pPr>
      <w:r>
        <w:rPr>
          <w:rFonts w:hint="eastAsia" w:ascii="宋体" w:hAnsi="宋体" w:cs="宋体"/>
          <w:sz w:val="32"/>
          <w:szCs w:val="32"/>
        </w:rPr>
        <w:t>④</w:t>
      </w:r>
      <w:r>
        <w:rPr>
          <w:rFonts w:eastAsia="方正仿宋_GBK"/>
          <w:sz w:val="32"/>
          <w:szCs w:val="32"/>
        </w:rPr>
        <w:t>招标人应将有关投标、履约、质量等保证金优惠政策在招标文件中载明。信用承诺替代投标保证金、第三方信用报告评价结果可参照有关文件执行优惠政策。</w:t>
      </w:r>
    </w:p>
    <w:p>
      <w:pPr>
        <w:spacing w:line="579" w:lineRule="exact"/>
        <w:ind w:left="640"/>
        <w:jc w:val="left"/>
        <w:rPr>
          <w:rFonts w:eastAsia="方正仿宋_GBK"/>
          <w:sz w:val="32"/>
          <w:szCs w:val="32"/>
        </w:rPr>
      </w:pPr>
      <w:r>
        <w:rPr>
          <w:rFonts w:hint="eastAsia" w:eastAsia="方正仿宋_GBK"/>
          <w:sz w:val="32"/>
          <w:szCs w:val="32"/>
        </w:rPr>
        <w:t>（7）</w:t>
      </w:r>
      <w:r>
        <w:rPr>
          <w:rFonts w:eastAsia="方正仿宋_GBK"/>
          <w:sz w:val="32"/>
          <w:szCs w:val="32"/>
        </w:rPr>
        <w:t>招标人与招标代理机构应当明确约定代理费用。招标代理机构收取的代理费用应当由招标人支付；约定由中标人代为支付代理费用的，应当在招标文件中明确支付标准和时间。招标代理机构不得收取代理合同约定之外的其他费用。</w:t>
      </w:r>
    </w:p>
    <w:p>
      <w:pPr>
        <w:pStyle w:val="6"/>
        <w:spacing w:line="579"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w:t>
      </w:r>
      <w:r>
        <w:rPr>
          <w:rFonts w:hint="eastAsia" w:ascii="Times New Roman" w:hAnsi="Times New Roman" w:eastAsia="方正仿宋_GBK" w:cs="Times New Roman"/>
          <w:kern w:val="2"/>
          <w:sz w:val="32"/>
          <w:szCs w:val="32"/>
        </w:rPr>
        <w:t>8</w:t>
      </w:r>
      <w:r>
        <w:rPr>
          <w:rFonts w:ascii="Times New Roman" w:hAnsi="Times New Roman" w:eastAsia="方正仿宋_GBK" w:cs="Times New Roman"/>
          <w:kern w:val="2"/>
          <w:sz w:val="32"/>
          <w:szCs w:val="32"/>
        </w:rPr>
        <w:t>）采用“评定分离”方式确定中标人的招标项目，招标人应贯彻落实《盐城市国有资金投资房屋建筑和市政基础设施工程“评定分离”导则》（盐住建招﹝2023﹞11号）有关要求</w:t>
      </w:r>
      <w:r>
        <w:rPr>
          <w:rFonts w:ascii="Times New Roman" w:hAnsi="Times New Roman" w:cs="Times New Roman"/>
          <w:color w:val="0000FF"/>
          <w:kern w:val="2"/>
          <w:sz w:val="21"/>
        </w:rPr>
        <w:t>。</w:t>
      </w:r>
      <w:r>
        <w:rPr>
          <w:rFonts w:ascii="Times New Roman" w:hAnsi="Times New Roman" w:eastAsia="方正仿宋_GBK" w:cs="Times New Roman"/>
          <w:kern w:val="2"/>
          <w:sz w:val="32"/>
          <w:szCs w:val="32"/>
        </w:rPr>
        <w:t>招标人应将确定“评定分离”方案列为单位“三重一大”事项，经集体讨论研究通过，并明确以下内容：</w:t>
      </w:r>
    </w:p>
    <w:p>
      <w:pPr>
        <w:pStyle w:val="6"/>
        <w:spacing w:line="579" w:lineRule="exact"/>
        <w:ind w:firstLine="640" w:firstLineChars="200"/>
        <w:jc w:val="both"/>
        <w:rPr>
          <w:rFonts w:ascii="Times New Roman" w:hAnsi="Times New Roman" w:eastAsia="方正仿宋_GBK" w:cs="Times New Roman"/>
          <w:kern w:val="2"/>
          <w:sz w:val="32"/>
          <w:szCs w:val="32"/>
        </w:rPr>
      </w:pPr>
      <w:r>
        <w:rPr>
          <w:rFonts w:hint="eastAsia" w:ascii="宋体" w:hAnsi="宋体" w:cs="宋体"/>
          <w:kern w:val="2"/>
          <w:sz w:val="32"/>
          <w:szCs w:val="32"/>
        </w:rPr>
        <w:t>①</w:t>
      </w:r>
      <w:r>
        <w:rPr>
          <w:rFonts w:ascii="Times New Roman" w:hAnsi="Times New Roman" w:eastAsia="方正仿宋_GBK" w:cs="Times New Roman"/>
          <w:kern w:val="2"/>
          <w:sz w:val="32"/>
          <w:szCs w:val="32"/>
        </w:rPr>
        <w:t>组建监督小组。监督小组原则上由三人组成，一般为招标人本单位或上级单位纪检监察人员或审计人员、工程建设领域相关专业技术人员及职工代表。监督小组对招标投标活动全过程进行监督，有权就定标委员会违反定标规则的行为进行质询，确保定标过程公正、公平。监督小组成员与定标委员会应实行互相回避制度，并对监督过程及其结果负责，确保可追溯性。</w:t>
      </w:r>
    </w:p>
    <w:p>
      <w:pPr>
        <w:pStyle w:val="6"/>
        <w:spacing w:line="579" w:lineRule="exact"/>
        <w:ind w:firstLine="640" w:firstLineChars="200"/>
        <w:jc w:val="both"/>
        <w:rPr>
          <w:rFonts w:ascii="Times New Roman" w:hAnsi="Times New Roman" w:eastAsia="方正仿宋_GBK" w:cs="Times New Roman"/>
          <w:kern w:val="2"/>
          <w:sz w:val="32"/>
          <w:szCs w:val="32"/>
        </w:rPr>
      </w:pPr>
      <w:r>
        <w:rPr>
          <w:rFonts w:hint="eastAsia" w:ascii="宋体" w:hAnsi="宋体" w:cs="宋体"/>
          <w:kern w:val="2"/>
          <w:sz w:val="32"/>
          <w:szCs w:val="32"/>
        </w:rPr>
        <w:t>②</w:t>
      </w:r>
      <w:r>
        <w:rPr>
          <w:rFonts w:ascii="Times New Roman" w:hAnsi="Times New Roman" w:eastAsia="方正仿宋_GBK" w:cs="Times New Roman"/>
          <w:kern w:val="2"/>
          <w:sz w:val="32"/>
          <w:szCs w:val="32"/>
        </w:rPr>
        <w:t>确定招标负责人。按照权责匹配原则确定本次招标的主要负责人和相关负责人。</w:t>
      </w:r>
    </w:p>
    <w:p>
      <w:pPr>
        <w:pStyle w:val="6"/>
        <w:spacing w:line="579" w:lineRule="exact"/>
        <w:ind w:firstLine="640" w:firstLineChars="200"/>
        <w:jc w:val="both"/>
        <w:rPr>
          <w:rFonts w:ascii="Times New Roman" w:hAnsi="Times New Roman" w:eastAsia="方正仿宋_GBK" w:cs="Times New Roman"/>
          <w:kern w:val="2"/>
          <w:sz w:val="32"/>
          <w:szCs w:val="32"/>
        </w:rPr>
      </w:pPr>
      <w:r>
        <w:rPr>
          <w:rFonts w:hint="eastAsia" w:ascii="宋体" w:hAnsi="宋体" w:cs="宋体"/>
          <w:kern w:val="2"/>
          <w:sz w:val="32"/>
          <w:szCs w:val="32"/>
        </w:rPr>
        <w:t>③</w:t>
      </w:r>
      <w:r>
        <w:rPr>
          <w:rFonts w:hint="eastAsia" w:ascii="宋体" w:hAnsi="宋体" w:cs="宋体"/>
          <w:kern w:val="2"/>
          <w:sz w:val="32"/>
          <w:szCs w:val="32"/>
          <w:lang w:eastAsia="zh-CN"/>
        </w:rPr>
        <w:t>“</w:t>
      </w:r>
      <w:r>
        <w:rPr>
          <w:rFonts w:ascii="Times New Roman" w:hAnsi="Times New Roman" w:eastAsia="方正仿宋_GBK" w:cs="Times New Roman"/>
          <w:kern w:val="2"/>
          <w:sz w:val="32"/>
          <w:szCs w:val="32"/>
        </w:rPr>
        <w:t>评定分离”方案。包括“评定分离”工作规程、评标办法、定标因素和标准、定标方法、定标委员会组成等。</w:t>
      </w:r>
    </w:p>
    <w:p>
      <w:pPr>
        <w:pStyle w:val="6"/>
        <w:spacing w:line="579"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评标办法、定标因素和标准、定标方法、监督小组人员组成及要求投标人提供的材料应当在招标文件中明确。评标办法、定标因素和标准、定标方法原则上不得修改。招标人可根据项目特点，合理设置企业或项目负责人承担过类似工程业绩作为资格审查条件，工程总承包项目执行国家和省、市有关规定。</w:t>
      </w:r>
    </w:p>
    <w:p>
      <w:pPr>
        <w:spacing w:line="579"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9</w:t>
      </w:r>
      <w:r>
        <w:rPr>
          <w:rFonts w:eastAsia="方正仿宋_GBK"/>
          <w:sz w:val="32"/>
          <w:szCs w:val="32"/>
        </w:rPr>
        <w:t>）规范工程价款结算。规范建设单位执行工程预付款、工资款、进度款和竣工结算制度。预付款应不低于合同总价的10%，工程进度款支付比例不得低于80%。全面贯彻落实《保障农民工工资条例》等国家和省、市有关农民工工资支付相关规定，约定拨付人工费用周期比例，不拖欠农民工工资。不得由施工单位垫资建设，不得将未完成结算审计作为工程延期结算、拖欠勘察设计费和工程款的理由。不得强制或变相强制以审计机关的审计结果作为工程价款结算依据。</w:t>
      </w:r>
    </w:p>
    <w:p>
      <w:pPr>
        <w:spacing w:line="579" w:lineRule="exact"/>
        <w:ind w:firstLine="643" w:firstLineChars="200"/>
        <w:rPr>
          <w:rFonts w:eastAsia="方正仿宋_GBK"/>
          <w:b/>
          <w:bCs/>
          <w:sz w:val="32"/>
          <w:szCs w:val="32"/>
        </w:rPr>
      </w:pPr>
      <w:r>
        <w:rPr>
          <w:rFonts w:eastAsia="方正仿宋_GBK"/>
          <w:b/>
          <w:bCs/>
          <w:sz w:val="32"/>
          <w:szCs w:val="32"/>
        </w:rPr>
        <w:t>4．招标（资格预审）公告发布</w:t>
      </w:r>
    </w:p>
    <w:p>
      <w:pPr>
        <w:spacing w:line="579" w:lineRule="exact"/>
        <w:ind w:firstLine="640" w:firstLineChars="200"/>
        <w:rPr>
          <w:rFonts w:eastAsia="方正仿宋_GBK"/>
          <w:color w:val="0000FF"/>
          <w:sz w:val="32"/>
          <w:szCs w:val="32"/>
        </w:rPr>
      </w:pPr>
      <w:r>
        <w:rPr>
          <w:rFonts w:eastAsia="方正仿宋_GBK"/>
          <w:sz w:val="32"/>
          <w:szCs w:val="32"/>
        </w:rPr>
        <w:t>（1）招标计划提前发布。根据《关于建立工程建设招标计划提前发布制度的通知（盐公管办〔2022〕2号）要求，招标计划应于项目招标公告发出之日前至少30日公布，涉及国家安全、国家秘密、抢险救灾或因招标人不可预见等原因急需开展的招标项目，经行政监督部门同意可不提前发布招标计划。</w:t>
      </w:r>
    </w:p>
    <w:p>
      <w:pPr>
        <w:spacing w:line="579" w:lineRule="exact"/>
        <w:ind w:firstLine="640" w:firstLineChars="200"/>
        <w:rPr>
          <w:rFonts w:eastAsia="方正仿宋_GBK"/>
          <w:sz w:val="32"/>
          <w:szCs w:val="32"/>
        </w:rPr>
      </w:pPr>
      <w:r>
        <w:rPr>
          <w:rFonts w:eastAsia="方正仿宋_GBK"/>
          <w:sz w:val="32"/>
          <w:szCs w:val="32"/>
        </w:rPr>
        <w:t>（2）招标公告发布流程。</w:t>
      </w:r>
    </w:p>
    <w:p>
      <w:pPr>
        <w:shd w:val="clear" w:color="auto" w:fill="FFFFFF"/>
        <w:spacing w:line="579" w:lineRule="exact"/>
        <w:ind w:firstLine="640"/>
        <w:jc w:val="left"/>
        <w:rPr>
          <w:rFonts w:eastAsia="仿宋"/>
          <w:kern w:val="0"/>
          <w:szCs w:val="21"/>
        </w:rPr>
      </w:pPr>
      <w:r>
        <w:rPr>
          <w:rFonts w:hint="eastAsia" w:ascii="宋体" w:hAnsi="宋体" w:cs="宋体"/>
          <w:sz w:val="32"/>
          <w:szCs w:val="32"/>
        </w:rPr>
        <w:t>①</w:t>
      </w:r>
      <w:r>
        <w:rPr>
          <w:rFonts w:eastAsia="仿宋"/>
          <w:kern w:val="0"/>
          <w:sz w:val="32"/>
          <w:szCs w:val="32"/>
        </w:rPr>
        <w:t>项目具备招标条件后，招标人或其委托的招标代理机构（以下简称招标人）登录交易系统将项目审批、核准或备案文件、发包初步方案、资金落实证明、自行承担招标风险的承诺书、按照权责匹配原则确定的项目主要负责人和相关负责人等材料扫描上传进行项目注册并提交初步</w:t>
      </w:r>
      <w:r>
        <w:rPr>
          <w:rFonts w:hint="eastAsia" w:eastAsia="仿宋"/>
          <w:kern w:val="0"/>
          <w:sz w:val="32"/>
          <w:szCs w:val="32"/>
          <w:lang w:eastAsia="zh-CN"/>
        </w:rPr>
        <w:t>发</w:t>
      </w:r>
      <w:r>
        <w:rPr>
          <w:rFonts w:eastAsia="仿宋"/>
          <w:kern w:val="0"/>
          <w:sz w:val="32"/>
          <w:szCs w:val="32"/>
        </w:rPr>
        <w:t>包方案。初步发包方案要求首次发包时一次性提交，未公开招标的说明理由。同时招标人注册并登</w:t>
      </w:r>
      <w:r>
        <w:rPr>
          <w:rFonts w:hint="eastAsia" w:eastAsia="仿宋"/>
          <w:kern w:val="0"/>
          <w:sz w:val="32"/>
          <w:szCs w:val="32"/>
          <w:lang w:eastAsia="zh-CN"/>
        </w:rPr>
        <w:t>录</w:t>
      </w:r>
      <w:r>
        <w:rPr>
          <w:rFonts w:eastAsia="仿宋"/>
          <w:kern w:val="0"/>
          <w:sz w:val="32"/>
          <w:szCs w:val="32"/>
        </w:rPr>
        <w:t>不良行为系统，对各方不良行为进行记录。</w:t>
      </w:r>
    </w:p>
    <w:p>
      <w:pPr>
        <w:shd w:val="clear" w:color="auto" w:fill="FFFFFF"/>
        <w:spacing w:line="579" w:lineRule="exact"/>
        <w:ind w:firstLine="640"/>
        <w:jc w:val="left"/>
        <w:rPr>
          <w:rFonts w:eastAsia="仿宋"/>
          <w:kern w:val="0"/>
          <w:sz w:val="32"/>
          <w:szCs w:val="32"/>
        </w:rPr>
      </w:pPr>
      <w:r>
        <w:rPr>
          <w:rFonts w:hint="eastAsia" w:ascii="宋体" w:hAnsi="宋体" w:cs="宋体"/>
          <w:sz w:val="32"/>
          <w:szCs w:val="32"/>
        </w:rPr>
        <w:t>②</w:t>
      </w:r>
      <w:r>
        <w:rPr>
          <w:rFonts w:eastAsia="方正仿宋_GBK"/>
          <w:sz w:val="32"/>
          <w:szCs w:val="32"/>
        </w:rPr>
        <w:t>招</w:t>
      </w:r>
      <w:r>
        <w:rPr>
          <w:rFonts w:eastAsia="仿宋"/>
          <w:kern w:val="0"/>
          <w:sz w:val="32"/>
          <w:szCs w:val="32"/>
        </w:rPr>
        <w:t>投标监管机构确认项目注册和发包方案符合要求，招标人进行电子招投标后续流程。</w:t>
      </w:r>
    </w:p>
    <w:p>
      <w:pPr>
        <w:shd w:val="clear" w:color="auto" w:fill="FFFFFF"/>
        <w:spacing w:line="579" w:lineRule="exact"/>
        <w:ind w:firstLine="640"/>
        <w:jc w:val="left"/>
        <w:rPr>
          <w:rFonts w:eastAsia="仿宋"/>
          <w:kern w:val="0"/>
          <w:sz w:val="32"/>
          <w:szCs w:val="32"/>
        </w:rPr>
      </w:pPr>
      <w:r>
        <w:rPr>
          <w:rFonts w:hint="eastAsia" w:ascii="宋体" w:hAnsi="宋体" w:cs="宋体"/>
          <w:sz w:val="32"/>
          <w:szCs w:val="32"/>
        </w:rPr>
        <w:t>③</w:t>
      </w:r>
      <w:r>
        <w:rPr>
          <w:rFonts w:eastAsia="仿宋"/>
          <w:kern w:val="0"/>
          <w:sz w:val="32"/>
          <w:szCs w:val="32"/>
        </w:rPr>
        <w:t>招标人将招标代理合同及招标代理项目组组成人员情况表（招标人具备自行招标能力的，需出具自行招标备案表及相关证明资料）上传至交易系统进行委托代理备案；</w:t>
      </w:r>
    </w:p>
    <w:p>
      <w:pPr>
        <w:shd w:val="clear" w:color="auto" w:fill="FFFFFF"/>
        <w:spacing w:line="579" w:lineRule="exact"/>
        <w:ind w:firstLine="640"/>
        <w:rPr>
          <w:rFonts w:eastAsia="仿宋"/>
          <w:kern w:val="0"/>
          <w:sz w:val="32"/>
          <w:szCs w:val="32"/>
        </w:rPr>
      </w:pPr>
      <w:r>
        <w:rPr>
          <w:rFonts w:hint="eastAsia" w:ascii="宋体" w:hAnsi="宋体" w:cs="宋体"/>
          <w:sz w:val="32"/>
          <w:szCs w:val="32"/>
        </w:rPr>
        <w:t>④</w:t>
      </w:r>
      <w:r>
        <w:rPr>
          <w:rFonts w:eastAsia="仿宋"/>
          <w:kern w:val="0"/>
          <w:sz w:val="32"/>
          <w:szCs w:val="32"/>
        </w:rPr>
        <w:t>招标人登录交易系统预约开标时间和场地，编制并提交资格预审公告和文件、资格预审招标文件、资格后审招标公告和文件、最高限价文件、现场踏勘信息、资格预审未入围名单、评标结果公示、评定分离评标结果公示、评定分离定标结果公示等，相关信息在国家或省指定媒介、江苏建设工程招标网、江苏省公共资源交易平台以及盐城市公共资源交易平台（http://ggzy.yancheng.gov.cn）同步发布。</w:t>
      </w:r>
    </w:p>
    <w:p>
      <w:pPr>
        <w:spacing w:line="579" w:lineRule="exact"/>
        <w:ind w:firstLine="640" w:firstLineChars="200"/>
        <w:rPr>
          <w:rFonts w:eastAsia="方正仿宋_GBK"/>
          <w:sz w:val="32"/>
          <w:szCs w:val="32"/>
        </w:rPr>
      </w:pPr>
      <w:r>
        <w:rPr>
          <w:rFonts w:eastAsia="方正仿宋_GBK"/>
          <w:sz w:val="32"/>
          <w:szCs w:val="32"/>
        </w:rPr>
        <w:t>（3）备案的招标文件中相关信息须完整填写，签字盖章齐全。招投标</w:t>
      </w:r>
      <w:r>
        <w:rPr>
          <w:rFonts w:eastAsia="仿宋"/>
          <w:kern w:val="0"/>
          <w:sz w:val="32"/>
          <w:szCs w:val="32"/>
        </w:rPr>
        <w:t>监管</w:t>
      </w:r>
      <w:r>
        <w:rPr>
          <w:rFonts w:eastAsia="方正仿宋_GBK"/>
          <w:sz w:val="32"/>
          <w:szCs w:val="32"/>
        </w:rPr>
        <w:t>机构将对在系统中上传备案的相关文件内容进行监督；对不满足要求的，发出行政监督建议或意见书，并对招标代理机构进行扣分。已发出行政监督建议或意见书的项目，不得组织开评标和公示。招标人（招标代理）如无异议，应整改问题并重发公告、公示、招标文件或澄清、修改招标文件，但不得通过系统后台撤回或修改已发出的公告公示。招标人、代理机构如对行政监督意见书内容有异议，可书面向项目行政监督部门提出。</w:t>
      </w:r>
    </w:p>
    <w:p>
      <w:pPr>
        <w:spacing w:line="579" w:lineRule="exact"/>
        <w:ind w:firstLine="640" w:firstLineChars="200"/>
        <w:rPr>
          <w:rFonts w:eastAsia="方正仿宋_GBK"/>
          <w:color w:val="F79646" w:themeColor="accent6"/>
          <w:sz w:val="32"/>
          <w:szCs w:val="32"/>
          <w14:textFill>
            <w14:solidFill>
              <w14:schemeClr w14:val="accent6"/>
            </w14:solidFill>
          </w14:textFill>
        </w:rPr>
      </w:pPr>
      <w:r>
        <w:rPr>
          <w:rFonts w:eastAsia="方正仿宋_GBK"/>
          <w:sz w:val="32"/>
          <w:szCs w:val="32"/>
        </w:rPr>
        <w:t>招标公告应当明确招标项目所有的资格审查条件、标准和方法以及评分的标准和方法。招标人可以对招标文件或资格预审文件进行必要的澄清或者修改。但对资格审查条件、资格审查标准和方法、评标标准和方法、以及付款方式等实质性内容进行修改，应当重新发布招标公告。</w:t>
      </w:r>
    </w:p>
    <w:p>
      <w:pPr>
        <w:spacing w:line="579" w:lineRule="exact"/>
        <w:ind w:firstLine="640" w:firstLineChars="200"/>
        <w:rPr>
          <w:rFonts w:eastAsia="方正仿宋_GBK"/>
          <w:sz w:val="32"/>
          <w:szCs w:val="32"/>
        </w:rPr>
      </w:pPr>
      <w:r>
        <w:rPr>
          <w:rFonts w:eastAsia="方正仿宋_GBK"/>
          <w:sz w:val="32"/>
          <w:szCs w:val="32"/>
        </w:rPr>
        <w:t>（4）招标人对已发出的招标文件进行必要的澄清或者修改的，以书面形式通知所有获取招标文件的潜在投标人。修改、澄清时间节点及要求如下：</w:t>
      </w:r>
    </w:p>
    <w:p>
      <w:pPr>
        <w:spacing w:line="579" w:lineRule="exact"/>
        <w:ind w:firstLine="640" w:firstLineChars="200"/>
        <w:rPr>
          <w:rFonts w:eastAsia="方正仿宋_GBK"/>
          <w:sz w:val="32"/>
          <w:szCs w:val="32"/>
        </w:rPr>
      </w:pPr>
      <w:r>
        <w:rPr>
          <w:rFonts w:hint="eastAsia" w:ascii="宋体" w:hAnsi="宋体" w:cs="宋体"/>
          <w:sz w:val="32"/>
          <w:szCs w:val="32"/>
        </w:rPr>
        <w:t>①</w:t>
      </w:r>
      <w:r>
        <w:rPr>
          <w:rFonts w:eastAsia="方正仿宋_GBK"/>
          <w:sz w:val="32"/>
          <w:szCs w:val="32"/>
        </w:rPr>
        <w:t>对于需要编制施工组织设计、服务大纲或者设备安装调试方案等技术评审内容的项目，修改、澄清内容可能影响投标文件编制的，需于投标截止时间至少15日前，以书面形式通知所有投标人，不足15日的应该顺延投标文件截止时间。</w:t>
      </w:r>
    </w:p>
    <w:p>
      <w:pPr>
        <w:spacing w:line="579" w:lineRule="exact"/>
        <w:ind w:firstLine="640" w:firstLineChars="200"/>
        <w:rPr>
          <w:rFonts w:eastAsia="方正仿宋_GBK"/>
          <w:sz w:val="32"/>
          <w:szCs w:val="32"/>
        </w:rPr>
      </w:pPr>
      <w:r>
        <w:rPr>
          <w:rFonts w:hint="eastAsia" w:ascii="宋体" w:hAnsi="宋体" w:cs="宋体"/>
          <w:sz w:val="32"/>
          <w:szCs w:val="32"/>
        </w:rPr>
        <w:t>②</w:t>
      </w:r>
      <w:r>
        <w:rPr>
          <w:rFonts w:eastAsia="方正仿宋_GBK"/>
          <w:sz w:val="32"/>
          <w:szCs w:val="32"/>
        </w:rPr>
        <w:t>对于无需编制施工组织设计、服务大纲或者设备安装调试方案等技术评审内容的项目，招标人修改、澄清内容可能影响投标文件编制的，应当在投标截止时间至少3日前，以答疑形式告知所有已获取招标文件的潜在投标人；不足3日的，招标人应当顺延提交投标文件的截止时间。</w:t>
      </w:r>
    </w:p>
    <w:p>
      <w:pPr>
        <w:spacing w:line="579" w:lineRule="exact"/>
        <w:ind w:firstLine="640" w:firstLineChars="200"/>
        <w:rPr>
          <w:rFonts w:eastAsia="方正楷体_GBK"/>
          <w:bCs/>
          <w:sz w:val="32"/>
          <w:szCs w:val="32"/>
        </w:rPr>
      </w:pPr>
      <w:r>
        <w:rPr>
          <w:rFonts w:eastAsia="方正楷体_GBK"/>
          <w:bCs/>
          <w:sz w:val="32"/>
          <w:szCs w:val="32"/>
        </w:rPr>
        <w:t>（二）投标阶段</w:t>
      </w:r>
    </w:p>
    <w:p>
      <w:pPr>
        <w:spacing w:line="579" w:lineRule="exact"/>
        <w:ind w:firstLine="640" w:firstLineChars="200"/>
        <w:rPr>
          <w:rFonts w:eastAsia="方正仿宋_GBK"/>
          <w:sz w:val="32"/>
          <w:szCs w:val="32"/>
        </w:rPr>
      </w:pPr>
      <w:r>
        <w:rPr>
          <w:rFonts w:eastAsia="方正仿宋_GBK"/>
          <w:sz w:val="32"/>
          <w:szCs w:val="32"/>
        </w:rPr>
        <w:t>1．潜在投标人通过招标公告中明确的交易系统下载招标文件（资格预审文件），在投标前登录交易系统平台进行注册和首次填报，或更新相关企业诚信库信息。</w:t>
      </w:r>
    </w:p>
    <w:p>
      <w:pPr>
        <w:spacing w:line="579" w:lineRule="exact"/>
        <w:ind w:firstLine="640" w:firstLineChars="200"/>
        <w:rPr>
          <w:rFonts w:eastAsia="方正仿宋_GBK"/>
          <w:sz w:val="32"/>
          <w:szCs w:val="32"/>
        </w:rPr>
      </w:pPr>
      <w:r>
        <w:rPr>
          <w:rFonts w:eastAsia="方正仿宋_GBK"/>
          <w:sz w:val="32"/>
          <w:szCs w:val="32"/>
        </w:rPr>
        <w:t>投标人有义务核查投标文件中相应链接，以及从企业诚信库中获取扫描件的有效性和真实性，如存在扫描件无效、不清晰、不完整或链接无效等情形的，投标人应及时更新企业诚信库相关材料，并重新链接获取相应信息。</w:t>
      </w:r>
    </w:p>
    <w:p>
      <w:pPr>
        <w:spacing w:line="579" w:lineRule="exact"/>
        <w:ind w:firstLine="640" w:firstLineChars="200"/>
        <w:rPr>
          <w:rFonts w:eastAsia="方正仿宋_GBK"/>
          <w:sz w:val="32"/>
          <w:szCs w:val="32"/>
        </w:rPr>
      </w:pPr>
      <w:r>
        <w:rPr>
          <w:rFonts w:eastAsia="方正仿宋_GBK"/>
          <w:sz w:val="32"/>
          <w:szCs w:val="32"/>
        </w:rPr>
        <w:t>2．投标人从交易系统下载招标文件后，应仔细阅读招标文件及附件的全部内容，招标文件与附件具有同等效力。投标人如有疑问，应在投标人须知前附表规定的时间，通过交易系统提交，要求招标人对招标文件予以澄清。</w:t>
      </w:r>
    </w:p>
    <w:p>
      <w:pPr>
        <w:spacing w:line="579"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w:t>
      </w:r>
      <w:r>
        <w:rPr>
          <w:rFonts w:hint="eastAsia" w:eastAsia="方正仿宋_GBK"/>
          <w:sz w:val="28"/>
          <w:szCs w:val="28"/>
        </w:rPr>
        <w:t xml:space="preserve"> </w:t>
      </w:r>
      <w:r>
        <w:rPr>
          <w:rFonts w:eastAsia="方正仿宋_GBK"/>
          <w:sz w:val="32"/>
          <w:szCs w:val="32"/>
        </w:rPr>
        <w:t>投标人应当按照招标文件的要求独立自主编制投标文件。投标文件应当对招标文件提出的实质性要求和条件作出响应。</w:t>
      </w:r>
    </w:p>
    <w:p>
      <w:pPr>
        <w:spacing w:line="579" w:lineRule="exact"/>
        <w:ind w:firstLine="640" w:firstLineChars="200"/>
        <w:rPr>
          <w:rFonts w:eastAsia="方正仿宋_GBK"/>
          <w:sz w:val="32"/>
          <w:szCs w:val="32"/>
        </w:rPr>
      </w:pPr>
      <w:r>
        <w:rPr>
          <w:rFonts w:eastAsia="方正仿宋_GBK"/>
          <w:sz w:val="32"/>
          <w:szCs w:val="32"/>
        </w:rPr>
        <w:t>投标人应当按照资格预审文件、招标文件要求提供资料，并对所提供资料的真实性、准确性负责。</w:t>
      </w:r>
    </w:p>
    <w:p>
      <w:pPr>
        <w:spacing w:line="579" w:lineRule="exact"/>
        <w:ind w:firstLine="640" w:firstLineChars="200"/>
        <w:rPr>
          <w:rFonts w:eastAsia="方正仿宋_GBK"/>
          <w:sz w:val="32"/>
          <w:szCs w:val="32"/>
        </w:rPr>
      </w:pPr>
      <w:r>
        <w:rPr>
          <w:rFonts w:eastAsia="方正仿宋_GBK"/>
          <w:sz w:val="32"/>
          <w:szCs w:val="32"/>
        </w:rPr>
        <w:t>4．与招标人存在利害关系，可能影响招标公正性的法人、非法人组织或者自然人，不得参加投标。单位负责人为同一人或者存在控股、管理关系的不同单位，不得参加同一标段投标或者未划分标段的同一招标项目投标。</w:t>
      </w:r>
    </w:p>
    <w:p>
      <w:pPr>
        <w:spacing w:line="579" w:lineRule="exact"/>
        <w:ind w:firstLine="640" w:firstLineChars="200"/>
        <w:rPr>
          <w:color w:val="F79646" w:themeColor="accent6"/>
          <w14:textFill>
            <w14:solidFill>
              <w14:schemeClr w14:val="accent6"/>
            </w14:solidFill>
          </w14:textFill>
        </w:rPr>
      </w:pPr>
      <w:r>
        <w:rPr>
          <w:rFonts w:hint="eastAsia" w:eastAsia="方正仿宋_GBK"/>
          <w:sz w:val="32"/>
          <w:szCs w:val="32"/>
        </w:rPr>
        <w:t>5．</w:t>
      </w:r>
      <w:r>
        <w:rPr>
          <w:rFonts w:eastAsia="方正仿宋_GBK"/>
          <w:sz w:val="32"/>
          <w:szCs w:val="32"/>
        </w:rPr>
        <w:t>投标人应在投标截止日前，使用交易系统可接受的投标文件制作工具进行编制、签章和加密，并在投标截止期前上传至交易系统中。</w:t>
      </w:r>
    </w:p>
    <w:p>
      <w:pPr>
        <w:spacing w:line="579" w:lineRule="exact"/>
        <w:ind w:firstLine="640" w:firstLineChars="200"/>
        <w:rPr>
          <w:rFonts w:eastAsia="方正仿宋_GBK"/>
          <w:sz w:val="32"/>
          <w:szCs w:val="32"/>
        </w:rPr>
      </w:pPr>
      <w:r>
        <w:rPr>
          <w:rFonts w:eastAsia="方正仿宋_GBK"/>
          <w:sz w:val="32"/>
          <w:szCs w:val="32"/>
        </w:rPr>
        <w:t>6．投标人应当遵守有关法律法规和行业标准规范，依法诚信参加投标，自觉维护公平竞争秩序，不得有下列行为：</w:t>
      </w:r>
    </w:p>
    <w:p>
      <w:pPr>
        <w:spacing w:line="579" w:lineRule="exact"/>
        <w:ind w:firstLine="640" w:firstLineChars="200"/>
        <w:rPr>
          <w:rFonts w:eastAsia="方正仿宋_GBK"/>
          <w:sz w:val="32"/>
          <w:szCs w:val="32"/>
        </w:rPr>
      </w:pPr>
      <w:r>
        <w:rPr>
          <w:rFonts w:eastAsia="方正仿宋_GBK"/>
          <w:sz w:val="32"/>
          <w:szCs w:val="32"/>
        </w:rPr>
        <w:t>（1）以他人名义投标，或者通过受让、租借、挂靠资质投标；</w:t>
      </w:r>
    </w:p>
    <w:p>
      <w:pPr>
        <w:spacing w:line="579" w:lineRule="exact"/>
        <w:ind w:firstLine="640" w:firstLineChars="200"/>
        <w:rPr>
          <w:rFonts w:eastAsia="方正仿宋_GBK"/>
          <w:sz w:val="32"/>
          <w:szCs w:val="32"/>
        </w:rPr>
      </w:pPr>
      <w:r>
        <w:rPr>
          <w:rFonts w:eastAsia="方正仿宋_GBK"/>
          <w:sz w:val="32"/>
          <w:szCs w:val="32"/>
        </w:rPr>
        <w:t>（2）伪造、变造资质、资格证书或者其他许可证件，提供虚假业绩、奖项、项目负责人等材料，或者以其他方式弄虚作假投标；</w:t>
      </w:r>
    </w:p>
    <w:p>
      <w:pPr>
        <w:spacing w:line="579" w:lineRule="exact"/>
        <w:ind w:firstLine="640" w:firstLineChars="200"/>
        <w:rPr>
          <w:rFonts w:eastAsia="方正仿宋_GBK"/>
          <w:sz w:val="32"/>
          <w:szCs w:val="32"/>
        </w:rPr>
      </w:pPr>
      <w:r>
        <w:rPr>
          <w:rFonts w:eastAsia="方正仿宋_GBK"/>
          <w:sz w:val="32"/>
          <w:szCs w:val="32"/>
        </w:rPr>
        <w:t>（3）与招标人、招标代理机构或者其他投标人串通投标；</w:t>
      </w:r>
    </w:p>
    <w:p>
      <w:pPr>
        <w:spacing w:line="579" w:lineRule="exact"/>
        <w:ind w:firstLine="640" w:firstLineChars="200"/>
        <w:rPr>
          <w:rFonts w:eastAsia="方正仿宋_GBK"/>
          <w:sz w:val="32"/>
          <w:szCs w:val="32"/>
        </w:rPr>
      </w:pPr>
      <w:r>
        <w:rPr>
          <w:rFonts w:eastAsia="方正仿宋_GBK"/>
          <w:sz w:val="32"/>
          <w:szCs w:val="32"/>
        </w:rPr>
        <w:t>（4）与评标委员会成员私下接触，或者通过向招标人、招标代理机构、公共资源交易平台运行服务机构、评标委员会成员、行政监督部门人员提供财物或者其他好处等不正当手段，谋取中标；</w:t>
      </w:r>
    </w:p>
    <w:p>
      <w:pPr>
        <w:spacing w:line="579" w:lineRule="exact"/>
        <w:ind w:firstLine="640" w:firstLineChars="200"/>
        <w:rPr>
          <w:rFonts w:eastAsia="方正仿宋_GBK"/>
          <w:sz w:val="32"/>
          <w:szCs w:val="32"/>
        </w:rPr>
      </w:pPr>
      <w:r>
        <w:rPr>
          <w:rFonts w:eastAsia="方正仿宋_GBK"/>
          <w:sz w:val="32"/>
          <w:szCs w:val="32"/>
        </w:rPr>
        <w:t>（5）以可能影响履约的异常低价竞标；</w:t>
      </w:r>
    </w:p>
    <w:p>
      <w:pPr>
        <w:spacing w:line="579" w:lineRule="exact"/>
        <w:ind w:firstLine="640" w:firstLineChars="200"/>
        <w:rPr>
          <w:rFonts w:eastAsia="方正仿宋_GBK"/>
          <w:sz w:val="32"/>
          <w:szCs w:val="32"/>
        </w:rPr>
      </w:pPr>
      <w:r>
        <w:rPr>
          <w:rFonts w:eastAsia="方正仿宋_GBK"/>
          <w:sz w:val="32"/>
          <w:szCs w:val="32"/>
        </w:rPr>
        <w:t>（6）恶意提出异议、投诉或者举报，干扰正常招标投标活动；</w:t>
      </w:r>
    </w:p>
    <w:p>
      <w:pPr>
        <w:spacing w:line="579" w:lineRule="exact"/>
        <w:ind w:firstLine="640" w:firstLineChars="200"/>
        <w:rPr>
          <w:rFonts w:eastAsia="方正仿宋_GBK"/>
          <w:sz w:val="32"/>
          <w:szCs w:val="32"/>
        </w:rPr>
      </w:pPr>
      <w:r>
        <w:rPr>
          <w:rFonts w:eastAsia="方正仿宋_GBK"/>
          <w:sz w:val="32"/>
          <w:szCs w:val="32"/>
        </w:rPr>
        <w:t>（7）法律、法规禁止的其他行为。</w:t>
      </w:r>
    </w:p>
    <w:p>
      <w:pPr>
        <w:spacing w:line="579" w:lineRule="exact"/>
        <w:ind w:firstLine="640" w:firstLineChars="200"/>
        <w:rPr>
          <w:rFonts w:eastAsia="方正仿宋_GBK"/>
          <w:sz w:val="32"/>
          <w:szCs w:val="32"/>
        </w:rPr>
      </w:pPr>
      <w:r>
        <w:rPr>
          <w:rFonts w:eastAsia="方正仿宋_GBK"/>
          <w:sz w:val="32"/>
          <w:szCs w:val="32"/>
        </w:rPr>
        <w:t>7．有下列情形之一的，视为投标人相互串通投标：</w:t>
      </w:r>
    </w:p>
    <w:p>
      <w:pPr>
        <w:spacing w:line="579" w:lineRule="exact"/>
        <w:ind w:firstLine="640" w:firstLineChars="200"/>
        <w:rPr>
          <w:rFonts w:eastAsia="方正仿宋_GBK"/>
          <w:sz w:val="32"/>
          <w:szCs w:val="32"/>
        </w:rPr>
      </w:pPr>
      <w:r>
        <w:rPr>
          <w:rFonts w:eastAsia="方正仿宋_GBK"/>
          <w:sz w:val="32"/>
          <w:szCs w:val="32"/>
        </w:rPr>
        <w:t>（1）法律、行政法规规定的视为相互串通投标的情形；</w:t>
      </w:r>
    </w:p>
    <w:p>
      <w:pPr>
        <w:spacing w:line="579" w:lineRule="exact"/>
        <w:ind w:firstLine="640" w:firstLineChars="200"/>
        <w:rPr>
          <w:rFonts w:eastAsia="方正仿宋_GBK"/>
          <w:sz w:val="32"/>
          <w:szCs w:val="32"/>
        </w:rPr>
      </w:pPr>
      <w:r>
        <w:rPr>
          <w:rFonts w:eastAsia="方正仿宋_GBK"/>
          <w:sz w:val="32"/>
          <w:szCs w:val="32"/>
        </w:rPr>
        <w:t>（2）不同投标人的电子投标文件由同一台电子设备编制、打包、加密或者上传；</w:t>
      </w:r>
    </w:p>
    <w:p>
      <w:pPr>
        <w:spacing w:line="579" w:lineRule="exact"/>
        <w:ind w:firstLine="640" w:firstLineChars="200"/>
        <w:rPr>
          <w:rFonts w:eastAsia="方正仿宋_GBK"/>
          <w:sz w:val="32"/>
          <w:szCs w:val="32"/>
        </w:rPr>
      </w:pPr>
      <w:r>
        <w:rPr>
          <w:rFonts w:eastAsia="方正仿宋_GBK"/>
          <w:sz w:val="32"/>
          <w:szCs w:val="32"/>
        </w:rPr>
        <w:t>（3）不同投标人的投标文件由同一投标人的电子设备打印、复印；</w:t>
      </w:r>
    </w:p>
    <w:p>
      <w:pPr>
        <w:spacing w:line="579" w:lineRule="exact"/>
        <w:ind w:firstLine="640" w:firstLineChars="200"/>
        <w:rPr>
          <w:rFonts w:eastAsia="方正仿宋_GBK"/>
          <w:sz w:val="32"/>
          <w:szCs w:val="32"/>
        </w:rPr>
      </w:pPr>
      <w:r>
        <w:rPr>
          <w:rFonts w:eastAsia="方正仿宋_GBK"/>
          <w:sz w:val="32"/>
          <w:szCs w:val="32"/>
        </w:rPr>
        <w:t>（4）不同投标人的投标报价用同一个预算编制软件密码锁制作或者出自同一投标人的电子文档；</w:t>
      </w:r>
    </w:p>
    <w:p>
      <w:pPr>
        <w:spacing w:line="579" w:lineRule="exact"/>
        <w:ind w:firstLine="640" w:firstLineChars="200"/>
        <w:rPr>
          <w:rFonts w:eastAsia="方正仿宋_GBK"/>
          <w:sz w:val="32"/>
          <w:szCs w:val="32"/>
        </w:rPr>
      </w:pPr>
      <w:r>
        <w:rPr>
          <w:rFonts w:eastAsia="方正仿宋_GBK"/>
          <w:sz w:val="32"/>
          <w:szCs w:val="32"/>
        </w:rPr>
        <w:t>（5）不同投标人从同一个投标单位或者同一个自然人的互联网协议地址下载招标文件、上传投标文件；</w:t>
      </w:r>
    </w:p>
    <w:p>
      <w:pPr>
        <w:spacing w:line="579" w:lineRule="exact"/>
        <w:ind w:firstLine="640" w:firstLineChars="200"/>
        <w:rPr>
          <w:rFonts w:eastAsia="方正仿宋_GBK"/>
          <w:sz w:val="32"/>
          <w:szCs w:val="32"/>
        </w:rPr>
      </w:pPr>
      <w:r>
        <w:rPr>
          <w:rFonts w:eastAsia="方正仿宋_GBK"/>
          <w:sz w:val="32"/>
          <w:szCs w:val="32"/>
        </w:rPr>
        <w:t>（6）不同投标人的投标保证金虽然经由投标人自己的基本账户转出，但所需资金来自同一单位或者个人的账户；</w:t>
      </w:r>
    </w:p>
    <w:p>
      <w:pPr>
        <w:spacing w:line="579" w:lineRule="exact"/>
        <w:ind w:firstLine="640" w:firstLineChars="200"/>
        <w:rPr>
          <w:rFonts w:eastAsia="方正仿宋_GBK"/>
          <w:sz w:val="32"/>
          <w:szCs w:val="32"/>
        </w:rPr>
      </w:pPr>
      <w:r>
        <w:rPr>
          <w:rFonts w:eastAsia="方正仿宋_GBK"/>
          <w:sz w:val="32"/>
          <w:szCs w:val="32"/>
        </w:rPr>
        <w:t>（7）参加投标活动的人员为同一标段或者未划分标段的同一招标项目的其他投标人的在职人员。</w:t>
      </w:r>
    </w:p>
    <w:p>
      <w:pPr>
        <w:spacing w:line="579" w:lineRule="exact"/>
        <w:ind w:firstLine="640" w:firstLineChars="200"/>
        <w:rPr>
          <w:rFonts w:eastAsia="方正仿宋_GBK"/>
          <w:sz w:val="32"/>
          <w:szCs w:val="32"/>
        </w:rPr>
      </w:pPr>
      <w:r>
        <w:rPr>
          <w:rFonts w:eastAsia="方正仿宋_GBK"/>
          <w:sz w:val="32"/>
          <w:szCs w:val="32"/>
        </w:rPr>
        <w:t>8．投标人可在投标截止日前上传投标文件时同步提交投标备份文件。投标备份文件是指投标人用专用工具编制的与上传的投标文件一致的不加密的电子投标文件，是否提交由投标人自主决定。</w:t>
      </w:r>
    </w:p>
    <w:p>
      <w:pPr>
        <w:spacing w:line="579" w:lineRule="exact"/>
        <w:ind w:firstLine="640" w:firstLineChars="200"/>
        <w:rPr>
          <w:rFonts w:eastAsia="方正楷体_GBK"/>
          <w:bCs/>
          <w:sz w:val="32"/>
          <w:szCs w:val="32"/>
        </w:rPr>
      </w:pPr>
      <w:r>
        <w:rPr>
          <w:rFonts w:eastAsia="方正楷体_GBK"/>
          <w:bCs/>
          <w:sz w:val="32"/>
          <w:szCs w:val="32"/>
        </w:rPr>
        <w:t>（三）开标阶段</w:t>
      </w:r>
    </w:p>
    <w:p>
      <w:pPr>
        <w:pStyle w:val="7"/>
        <w:spacing w:after="0" w:line="579" w:lineRule="exact"/>
        <w:ind w:firstLine="640" w:firstLineChars="200"/>
        <w:rPr>
          <w:rFonts w:eastAsia="方正仿宋_GBK"/>
        </w:rPr>
      </w:pPr>
      <w:r>
        <w:rPr>
          <w:rFonts w:eastAsia="方正仿宋_GBK"/>
          <w:sz w:val="32"/>
          <w:szCs w:val="32"/>
        </w:rPr>
        <w:t>招标人应按照招标文件规定的时间、地点和方式接收投标文件、组织开标，做好开标过程记录、存档备查。未通过资格预审的申请人提交的投标文件，以及逾期送达或者不按照招标文件要求密封的投标文件，招标人应当拒收。</w:t>
      </w:r>
    </w:p>
    <w:p>
      <w:pPr>
        <w:pStyle w:val="7"/>
        <w:spacing w:after="0" w:line="579" w:lineRule="exact"/>
        <w:ind w:firstLine="640" w:firstLineChars="200"/>
        <w:rPr>
          <w:rFonts w:eastAsia="方正仿宋_GBK"/>
        </w:rPr>
      </w:pPr>
      <w:r>
        <w:rPr>
          <w:rFonts w:eastAsia="方正仿宋_GBK"/>
          <w:sz w:val="32"/>
          <w:szCs w:val="32"/>
        </w:rPr>
        <w:t>招标人负责组织开标活动。对投标人在开标现场提出的异议当场作出答复，并制作记录。</w:t>
      </w:r>
    </w:p>
    <w:p>
      <w:pPr>
        <w:pStyle w:val="7"/>
        <w:spacing w:after="0" w:line="579" w:lineRule="exact"/>
        <w:ind w:firstLine="640" w:firstLineChars="200"/>
        <w:rPr>
          <w:rFonts w:eastAsia="方正仿宋_GBK"/>
        </w:rPr>
      </w:pPr>
      <w:r>
        <w:rPr>
          <w:rFonts w:eastAsia="方正仿宋_GBK"/>
          <w:sz w:val="32"/>
          <w:szCs w:val="32"/>
        </w:rPr>
        <w:t>招标人不得违规要求投标人的法定代表人必须到场参加开标活动，或者拒绝经授权委托的投标人代表到场参加开标活动。</w:t>
      </w:r>
    </w:p>
    <w:p>
      <w:pPr>
        <w:pStyle w:val="7"/>
        <w:spacing w:after="0" w:line="579" w:lineRule="exact"/>
        <w:ind w:firstLine="640" w:firstLineChars="200"/>
        <w:rPr>
          <w:rFonts w:eastAsia="方正仿宋_GBK"/>
        </w:rPr>
      </w:pPr>
      <w:r>
        <w:rPr>
          <w:rFonts w:eastAsia="方正仿宋_GBK"/>
          <w:sz w:val="32"/>
          <w:szCs w:val="32"/>
        </w:rPr>
        <w:t>招标人负责依法组建评标委员会。评标委员会成员的确定方式、评标专家的抽取过程应符合相关规定。招标人应当选派或者委托责任心强、熟悉业务、公道正派的人员作为招标人代表参加评标，并遵守利益冲突回避原则。</w:t>
      </w:r>
    </w:p>
    <w:p>
      <w:pPr>
        <w:spacing w:line="579" w:lineRule="exact"/>
        <w:ind w:firstLine="640" w:firstLineChars="200"/>
        <w:rPr>
          <w:rFonts w:eastAsia="方正仿宋_GBK"/>
          <w:sz w:val="32"/>
          <w:szCs w:val="32"/>
        </w:rPr>
      </w:pPr>
      <w:r>
        <w:rPr>
          <w:rFonts w:eastAsia="方正仿宋_GBK"/>
          <w:sz w:val="32"/>
          <w:szCs w:val="32"/>
        </w:rPr>
        <w:t>1．投标人应在投标截止时间前登录招标文件载明的“网上开标大厅”网址，按系统提示完成开标流程。</w:t>
      </w:r>
    </w:p>
    <w:p>
      <w:pPr>
        <w:spacing w:line="579" w:lineRule="exact"/>
        <w:ind w:firstLine="640" w:firstLineChars="200"/>
        <w:rPr>
          <w:rFonts w:eastAsia="方正仿宋_GBK"/>
          <w:sz w:val="32"/>
          <w:szCs w:val="32"/>
        </w:rPr>
      </w:pPr>
      <w:r>
        <w:rPr>
          <w:rFonts w:eastAsia="方正仿宋_GBK"/>
          <w:sz w:val="32"/>
          <w:szCs w:val="32"/>
        </w:rPr>
        <w:t xml:space="preserve">2．招标人（招标代理）应按照招标文件规定的时间开标，在系统内公布投标人名单，通过开标会议区发出投标文件解密的指令，截止解密时间到后，仍未解密的电子投标文件应当不予接收。  </w:t>
      </w:r>
    </w:p>
    <w:p>
      <w:pPr>
        <w:spacing w:line="579" w:lineRule="exact"/>
        <w:ind w:firstLine="640" w:firstLineChars="200"/>
        <w:rPr>
          <w:rFonts w:eastAsia="方正仿宋_GBK"/>
          <w:sz w:val="32"/>
          <w:szCs w:val="32"/>
        </w:rPr>
      </w:pPr>
      <w:r>
        <w:rPr>
          <w:rFonts w:eastAsia="方正仿宋_GBK"/>
          <w:sz w:val="32"/>
          <w:szCs w:val="32"/>
        </w:rPr>
        <w:t>3．投标人少于3个的，招标人应当重新招标。</w:t>
      </w:r>
    </w:p>
    <w:p>
      <w:pPr>
        <w:spacing w:line="579" w:lineRule="exact"/>
        <w:ind w:firstLine="640" w:firstLineChars="200"/>
        <w:rPr>
          <w:rFonts w:eastAsia="方正仿宋_GBK"/>
          <w:sz w:val="32"/>
          <w:szCs w:val="32"/>
        </w:rPr>
      </w:pPr>
      <w:r>
        <w:rPr>
          <w:rFonts w:eastAsia="方正仿宋_GBK"/>
          <w:sz w:val="32"/>
          <w:szCs w:val="32"/>
        </w:rPr>
        <w:t>4．是否递交备份文件不影响正常开评标活动的进行。投标备份文件仅在出现因“网上开评标系统”故障，开、评标活动无法正常进行时的特殊情况时使用。若投标人未在投标截止时间前递交投标备份文件，特殊情况下启用备份文件开、评标时，视同放弃投标资格。</w:t>
      </w:r>
    </w:p>
    <w:p>
      <w:pPr>
        <w:spacing w:line="579" w:lineRule="exact"/>
        <w:ind w:firstLine="640" w:firstLineChars="200"/>
        <w:rPr>
          <w:rFonts w:eastAsia="方正楷体_GBK"/>
          <w:bCs/>
          <w:sz w:val="32"/>
          <w:szCs w:val="32"/>
        </w:rPr>
      </w:pPr>
      <w:r>
        <w:rPr>
          <w:rFonts w:eastAsia="方正楷体_GBK"/>
          <w:bCs/>
          <w:sz w:val="32"/>
          <w:szCs w:val="32"/>
        </w:rPr>
        <w:t>（四）评标阶段</w:t>
      </w:r>
    </w:p>
    <w:p>
      <w:pPr>
        <w:pStyle w:val="7"/>
        <w:spacing w:after="0" w:line="579" w:lineRule="exact"/>
        <w:ind w:firstLine="640" w:firstLineChars="200"/>
        <w:rPr>
          <w:rFonts w:eastAsia="方正仿宋_GBK"/>
        </w:rPr>
      </w:pPr>
      <w:r>
        <w:rPr>
          <w:rFonts w:eastAsia="方正仿宋_GBK"/>
          <w:sz w:val="32"/>
          <w:szCs w:val="32"/>
        </w:rPr>
        <w:t>评标前招标人应对照省政府第 120 号令要求，进行评标准备工作，并核实投标人和项目负责人的资质和资格、经历和业绩、在建工程和信用状况等方面的情况。招标人应当依据招标文件，采用同样的标准对所有投标文件进行全面的审查，但不对投标文件作出评价。招标人认为投标人的投标价有可能无法完成招标文件规定的所有工程内容，招标人可以提请评标委员会要求该投标人作出书面说明并提供相关证明材料。</w:t>
      </w:r>
    </w:p>
    <w:p>
      <w:pPr>
        <w:pStyle w:val="7"/>
        <w:spacing w:after="0" w:line="579" w:lineRule="exact"/>
        <w:ind w:firstLine="640" w:firstLineChars="200"/>
        <w:rPr>
          <w:rFonts w:eastAsia="方正仿宋_GBK"/>
        </w:rPr>
      </w:pPr>
      <w:r>
        <w:rPr>
          <w:rFonts w:eastAsia="方正仿宋_GBK"/>
          <w:sz w:val="32"/>
          <w:szCs w:val="32"/>
        </w:rPr>
        <w:t>1．评标由招标人依法组建的评标委员会负责。招标人可以委派1名具备中级及以上工程类相关职称或者具有工程建设类执业资格的代表参与评标（房屋建筑工程设计招标除外）或者资格审查。招标代理机构的人员不得担任其所代理项目的评标委员会成员或者资格审查委员会成员。严禁招标人代表私下接触投标人、潜在投标人、评标专家或相关利害关系人；严禁在评标过程中发表带有倾向性、误导性的言论或者暗示性的意见建议，干扰或影响其他评标委员会成员公正独立评标。招标人代表发现其他评标委员会成员不按照招标文件规定的评标标准和方法评标的，应当及时提醒、劝阻并向有关招标投标行政监督部门报告。</w:t>
      </w:r>
    </w:p>
    <w:p>
      <w:pPr>
        <w:spacing w:line="579" w:lineRule="exact"/>
        <w:ind w:firstLine="640" w:firstLineChars="200"/>
        <w:rPr>
          <w:rFonts w:eastAsia="方正仿宋_GBK"/>
          <w:sz w:val="32"/>
          <w:szCs w:val="32"/>
        </w:rPr>
      </w:pPr>
      <w:r>
        <w:rPr>
          <w:rFonts w:eastAsia="方正仿宋_GBK"/>
          <w:sz w:val="32"/>
          <w:szCs w:val="32"/>
        </w:rPr>
        <w:t>依法必须进行招标的项目，评标委员会由招标人的代表和有关技术、经济等方面的专家组成，成员人数为五人以上单数，其中技术、经济等方面的专家不得少于成员总数的三分之二。招标人自主确定是否采用远程异地评标，鼓励招标人采用远程异地评标，推动优质专家资源跨地区共享。</w:t>
      </w:r>
    </w:p>
    <w:p>
      <w:pPr>
        <w:spacing w:line="579" w:lineRule="exact"/>
        <w:ind w:firstLine="640" w:firstLineChars="200"/>
        <w:rPr>
          <w:rFonts w:eastAsia="方正仿宋_GBK"/>
          <w:sz w:val="32"/>
          <w:szCs w:val="32"/>
        </w:rPr>
      </w:pPr>
      <w:r>
        <w:rPr>
          <w:rFonts w:eastAsia="方正仿宋_GBK"/>
          <w:sz w:val="32"/>
          <w:szCs w:val="32"/>
        </w:rPr>
        <w:t>2</w:t>
      </w:r>
      <w:r>
        <w:rPr>
          <w:rFonts w:eastAsia="方正仿宋_GBK"/>
          <w:kern w:val="0"/>
          <w:sz w:val="32"/>
          <w:szCs w:val="32"/>
        </w:rPr>
        <w:t>．评标专家的评审费用由招标人支付。</w:t>
      </w:r>
      <w:r>
        <w:rPr>
          <w:rFonts w:eastAsia="方正仿宋_GBK"/>
          <w:sz w:val="32"/>
          <w:szCs w:val="32"/>
        </w:rPr>
        <w:t>约定由代理机构代为支付评审费用的，应当将该费用单列计入代理费报价中，并在招标代理合同中明确支付方式。专家抽取原则上在评标开始当天抽取，长三角远程异地评标可提前半天进行抽取。当天抽取的应当充分考虑专家合理到达时间，原则上不少于2小时前开始抽取。招标人（招标代理）在江苏省公共资源交易中心综合专家库系统中抽取专家，应按照资格审查或评标项目类型和所含专业合理选择评标专家类别、专业及人数，设置回避单位及个人，提交行政监督部门审核。招标人（招标代理）不得向投标人透露专家抽取任何信息，不得向专家库成员透露项目评标任何信息。</w:t>
      </w:r>
    </w:p>
    <w:p>
      <w:pPr>
        <w:spacing w:line="579" w:lineRule="exact"/>
        <w:ind w:firstLine="640" w:firstLineChars="200"/>
        <w:rPr>
          <w:rFonts w:eastAsia="方正仿宋_GBK"/>
          <w:sz w:val="32"/>
          <w:szCs w:val="32"/>
        </w:rPr>
      </w:pPr>
      <w:r>
        <w:rPr>
          <w:rFonts w:eastAsia="方正仿宋_GBK"/>
          <w:sz w:val="32"/>
          <w:szCs w:val="32"/>
        </w:rPr>
        <w:t>3．评标委员会成员有下列情形之一的，应当回避：</w:t>
      </w:r>
    </w:p>
    <w:p>
      <w:pPr>
        <w:spacing w:line="579" w:lineRule="exact"/>
        <w:ind w:firstLine="640" w:firstLineChars="200"/>
        <w:rPr>
          <w:rFonts w:eastAsia="方正仿宋_GBK"/>
          <w:sz w:val="32"/>
          <w:szCs w:val="32"/>
        </w:rPr>
      </w:pPr>
      <w:r>
        <w:rPr>
          <w:rFonts w:eastAsia="方正仿宋_GBK"/>
          <w:sz w:val="32"/>
          <w:szCs w:val="32"/>
        </w:rPr>
        <w:t>（1）是投标人或者投标人主要负责人的近亲属；</w:t>
      </w:r>
    </w:p>
    <w:p>
      <w:pPr>
        <w:spacing w:line="579" w:lineRule="exact"/>
        <w:ind w:firstLine="640" w:firstLineChars="200"/>
        <w:rPr>
          <w:rFonts w:eastAsia="方正仿宋_GBK"/>
          <w:sz w:val="32"/>
          <w:szCs w:val="32"/>
        </w:rPr>
      </w:pPr>
      <w:r>
        <w:rPr>
          <w:rFonts w:eastAsia="方正仿宋_GBK"/>
          <w:sz w:val="32"/>
          <w:szCs w:val="32"/>
        </w:rPr>
        <w:t>（2）是项目主管部门或者行政监督部门的工作人员；</w:t>
      </w:r>
    </w:p>
    <w:p>
      <w:pPr>
        <w:spacing w:line="579" w:lineRule="exact"/>
        <w:ind w:firstLine="640" w:firstLineChars="200"/>
        <w:rPr>
          <w:rFonts w:eastAsia="方正仿宋_GBK"/>
          <w:sz w:val="32"/>
          <w:szCs w:val="32"/>
        </w:rPr>
      </w:pPr>
      <w:r>
        <w:rPr>
          <w:rFonts w:eastAsia="方正仿宋_GBK"/>
          <w:sz w:val="32"/>
          <w:szCs w:val="32"/>
        </w:rPr>
        <w:t>（3）与投标人有经济利益关系，可能影响公正评审的人员；</w:t>
      </w:r>
    </w:p>
    <w:p>
      <w:pPr>
        <w:spacing w:line="579" w:lineRule="exact"/>
        <w:ind w:firstLine="640" w:firstLineChars="200"/>
        <w:rPr>
          <w:rFonts w:eastAsia="方正仿宋_GBK"/>
          <w:sz w:val="32"/>
          <w:szCs w:val="32"/>
        </w:rPr>
      </w:pPr>
      <w:r>
        <w:rPr>
          <w:rFonts w:eastAsia="方正仿宋_GBK"/>
          <w:sz w:val="32"/>
          <w:szCs w:val="32"/>
        </w:rPr>
        <w:t>（4）与投标人有利害关系的其他情形。</w:t>
      </w:r>
    </w:p>
    <w:p>
      <w:pPr>
        <w:spacing w:line="579" w:lineRule="exact"/>
        <w:ind w:firstLine="640" w:firstLineChars="200"/>
        <w:rPr>
          <w:rFonts w:eastAsia="方正仿宋_GBK"/>
          <w:sz w:val="32"/>
          <w:szCs w:val="32"/>
        </w:rPr>
      </w:pPr>
      <w:r>
        <w:rPr>
          <w:rFonts w:eastAsia="方正仿宋_GBK"/>
          <w:sz w:val="32"/>
          <w:szCs w:val="32"/>
        </w:rPr>
        <w:t>4.评标流程</w:t>
      </w:r>
    </w:p>
    <w:p>
      <w:pPr>
        <w:spacing w:line="579" w:lineRule="exact"/>
        <w:ind w:firstLine="640" w:firstLineChars="200"/>
        <w:rPr>
          <w:rFonts w:eastAsia="方正仿宋_GBK"/>
          <w:sz w:val="32"/>
          <w:szCs w:val="32"/>
        </w:rPr>
      </w:pPr>
      <w:r>
        <w:rPr>
          <w:rFonts w:eastAsia="方正仿宋_GBK"/>
          <w:sz w:val="32"/>
          <w:szCs w:val="32"/>
        </w:rPr>
        <w:t>（1）招标人代表出示授权函及身份证，向评标委员会其他成员表明身份，同时核对评标委员会其他成员身份；</w:t>
      </w:r>
    </w:p>
    <w:p>
      <w:pPr>
        <w:spacing w:line="579" w:lineRule="exact"/>
        <w:ind w:firstLine="640" w:firstLineChars="200"/>
        <w:rPr>
          <w:rFonts w:eastAsia="方正仿宋_GBK"/>
          <w:sz w:val="32"/>
          <w:szCs w:val="32"/>
        </w:rPr>
      </w:pPr>
      <w:r>
        <w:rPr>
          <w:rFonts w:eastAsia="方正仿宋_GBK"/>
          <w:sz w:val="32"/>
          <w:szCs w:val="32"/>
        </w:rPr>
        <w:t>（2）宣布评标纪律；</w:t>
      </w:r>
    </w:p>
    <w:p>
      <w:pPr>
        <w:spacing w:line="579" w:lineRule="exact"/>
        <w:ind w:firstLine="640" w:firstLineChars="200"/>
        <w:rPr>
          <w:rFonts w:eastAsia="方正仿宋_GBK"/>
          <w:sz w:val="32"/>
          <w:szCs w:val="32"/>
        </w:rPr>
      </w:pPr>
      <w:r>
        <w:rPr>
          <w:rFonts w:eastAsia="方正仿宋_GBK"/>
          <w:sz w:val="32"/>
          <w:szCs w:val="32"/>
        </w:rPr>
        <w:t>（3）招标人（招标代理）公布已开标的投标人名单，介绍评标委员会成员同时询问有否回避的情形；评标委员会成员存在应当回避情形的，应当主动提出回避；</w:t>
      </w:r>
    </w:p>
    <w:p>
      <w:pPr>
        <w:spacing w:line="579" w:lineRule="exact"/>
        <w:ind w:firstLine="640" w:firstLineChars="200"/>
        <w:rPr>
          <w:rFonts w:eastAsia="方正仿宋_GBK"/>
          <w:sz w:val="32"/>
          <w:szCs w:val="32"/>
        </w:rPr>
      </w:pPr>
      <w:r>
        <w:rPr>
          <w:rFonts w:eastAsia="方正仿宋_GBK"/>
          <w:sz w:val="32"/>
          <w:szCs w:val="32"/>
        </w:rPr>
        <w:t>（4）招标人代表与评标委员会其他成员共同推选评标组长；</w:t>
      </w:r>
    </w:p>
    <w:p>
      <w:pPr>
        <w:spacing w:line="579" w:lineRule="exact"/>
        <w:ind w:firstLine="640" w:firstLineChars="200"/>
        <w:rPr>
          <w:rFonts w:eastAsia="方正仿宋_GBK"/>
          <w:sz w:val="32"/>
          <w:szCs w:val="32"/>
        </w:rPr>
      </w:pPr>
      <w:r>
        <w:rPr>
          <w:rFonts w:eastAsia="方正仿宋_GBK"/>
          <w:sz w:val="32"/>
          <w:szCs w:val="32"/>
        </w:rPr>
        <w:t>（5）评标委员会按照招标文件</w:t>
      </w:r>
      <w:r>
        <w:rPr>
          <w:rFonts w:hint="eastAsia" w:eastAsia="方正仿宋_GBK"/>
          <w:sz w:val="32"/>
          <w:szCs w:val="32"/>
          <w:lang w:eastAsia="zh-CN"/>
        </w:rPr>
        <w:t>“</w:t>
      </w:r>
      <w:r>
        <w:rPr>
          <w:rFonts w:eastAsia="方正仿宋_GBK"/>
          <w:sz w:val="32"/>
          <w:szCs w:val="32"/>
        </w:rPr>
        <w:t>评标办法</w:t>
      </w:r>
      <w:r>
        <w:rPr>
          <w:rFonts w:hint="eastAsia" w:eastAsia="方正仿宋_GBK"/>
          <w:sz w:val="32"/>
          <w:szCs w:val="32"/>
          <w:lang w:eastAsia="zh-CN"/>
        </w:rPr>
        <w:t>”</w:t>
      </w:r>
      <w:r>
        <w:rPr>
          <w:rFonts w:eastAsia="方正仿宋_GBK"/>
          <w:sz w:val="32"/>
          <w:szCs w:val="32"/>
        </w:rPr>
        <w:t>规定的方法、评审因素、标准和程序对投标文件进行评审。“评标办法”没有规定的方法、评审因素和标准，不作为评标依据；</w:t>
      </w:r>
    </w:p>
    <w:p>
      <w:pPr>
        <w:spacing w:line="579" w:lineRule="exact"/>
        <w:ind w:firstLine="640" w:firstLineChars="200"/>
        <w:rPr>
          <w:rFonts w:eastAsia="方正仿宋_GBK"/>
          <w:sz w:val="32"/>
          <w:szCs w:val="32"/>
        </w:rPr>
      </w:pPr>
      <w:r>
        <w:rPr>
          <w:rFonts w:eastAsia="方正仿宋_GBK"/>
          <w:sz w:val="32"/>
          <w:szCs w:val="32"/>
        </w:rPr>
        <w:t>（6）招标文件存在歧义、重大缺陷导致评标工作无法进行的，评标委员会应当停止评标工作，与招标人沟通并作书面记录。招标人确认后，应当修改招标文件，重新招标；</w:t>
      </w:r>
    </w:p>
    <w:p>
      <w:pPr>
        <w:pStyle w:val="2"/>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（7）完成评标并进行签章。</w:t>
      </w:r>
    </w:p>
    <w:p>
      <w:pPr>
        <w:spacing w:line="579" w:lineRule="exact"/>
        <w:ind w:firstLine="640" w:firstLineChars="200"/>
        <w:rPr>
          <w:rFonts w:eastAsia="方正仿宋_GBK"/>
          <w:sz w:val="32"/>
          <w:szCs w:val="32"/>
        </w:rPr>
      </w:pPr>
      <w:r>
        <w:rPr>
          <w:rFonts w:eastAsia="方正仿宋_GBK"/>
          <w:sz w:val="32"/>
          <w:szCs w:val="32"/>
        </w:rPr>
        <w:t>5．评标委员会按照下列要求和程序进行评标：</w:t>
      </w:r>
    </w:p>
    <w:p>
      <w:pPr>
        <w:spacing w:line="579" w:lineRule="exact"/>
        <w:ind w:firstLine="640" w:firstLineChars="200"/>
        <w:rPr>
          <w:rFonts w:eastAsia="方正仿宋_GBK"/>
          <w:sz w:val="32"/>
          <w:szCs w:val="32"/>
        </w:rPr>
      </w:pPr>
      <w:r>
        <w:rPr>
          <w:rFonts w:eastAsia="方正仿宋_GBK"/>
          <w:sz w:val="32"/>
          <w:szCs w:val="32"/>
        </w:rPr>
        <w:t>（1）熟悉招标文件的各项要求和规定；</w:t>
      </w:r>
    </w:p>
    <w:p>
      <w:pPr>
        <w:spacing w:line="579" w:lineRule="exact"/>
        <w:ind w:firstLine="640" w:firstLineChars="200"/>
        <w:rPr>
          <w:rFonts w:eastAsia="方正仿宋_GBK"/>
          <w:sz w:val="32"/>
          <w:szCs w:val="32"/>
        </w:rPr>
      </w:pPr>
      <w:r>
        <w:rPr>
          <w:rFonts w:eastAsia="方正仿宋_GBK"/>
          <w:sz w:val="32"/>
          <w:szCs w:val="32"/>
        </w:rPr>
        <w:t>（2）按照招标文件规定的评标标准和评标方法对投标文件进行系统比较和评审；</w:t>
      </w:r>
    </w:p>
    <w:p>
      <w:pPr>
        <w:spacing w:line="579" w:lineRule="exact"/>
        <w:ind w:firstLine="640" w:firstLineChars="200"/>
        <w:rPr>
          <w:rFonts w:eastAsia="方正仿宋_GBK"/>
          <w:sz w:val="32"/>
          <w:szCs w:val="32"/>
        </w:rPr>
      </w:pPr>
      <w:r>
        <w:rPr>
          <w:rFonts w:eastAsia="方正仿宋_GBK"/>
          <w:sz w:val="32"/>
          <w:szCs w:val="32"/>
        </w:rPr>
        <w:t>（3）对投标文件中含义不明确的内容、同类问题表述不一致以及明显文字或者计算错误的，要求投标人作出必要的书面澄清、说明或者补正，但是澄清、说明或者补正超出投标文件的范围或者改变投标文件的实质性内容的，应当不予采纳；</w:t>
      </w:r>
    </w:p>
    <w:p>
      <w:pPr>
        <w:spacing w:line="579" w:lineRule="exact"/>
        <w:ind w:firstLine="640" w:firstLineChars="200"/>
        <w:rPr>
          <w:rFonts w:eastAsia="方正仿宋_GBK"/>
          <w:sz w:val="32"/>
          <w:szCs w:val="32"/>
        </w:rPr>
      </w:pPr>
      <w:r>
        <w:rPr>
          <w:rFonts w:eastAsia="方正仿宋_GBK"/>
          <w:sz w:val="32"/>
          <w:szCs w:val="32"/>
        </w:rPr>
        <w:t>（4）对可能影响履约的异常低价要求投标人提供书面说明和相关证明材料，对明显低于其他投标报价或者标底的报价可以要求投标人提供书面说明和相关证明材料；</w:t>
      </w:r>
    </w:p>
    <w:p>
      <w:pPr>
        <w:spacing w:line="579" w:lineRule="exact"/>
        <w:ind w:firstLine="640" w:firstLineChars="200"/>
        <w:rPr>
          <w:rFonts w:eastAsia="方正仿宋_GBK"/>
          <w:sz w:val="32"/>
          <w:szCs w:val="32"/>
        </w:rPr>
      </w:pPr>
      <w:r>
        <w:rPr>
          <w:rFonts w:eastAsia="方正仿宋_GBK"/>
          <w:sz w:val="32"/>
          <w:szCs w:val="32"/>
        </w:rPr>
        <w:t>（5）审查投标文件是否对招标文件提出的所有实质性要求和条件作出响应，并逐项列出各投标文件的全部投标偏差；</w:t>
      </w:r>
    </w:p>
    <w:p>
      <w:pPr>
        <w:spacing w:line="579" w:lineRule="exact"/>
        <w:ind w:firstLine="640" w:firstLineChars="200"/>
        <w:rPr>
          <w:rFonts w:eastAsia="方正仿宋_GBK"/>
          <w:sz w:val="32"/>
          <w:szCs w:val="32"/>
        </w:rPr>
      </w:pPr>
      <w:r>
        <w:rPr>
          <w:rFonts w:eastAsia="方正仿宋_GBK"/>
          <w:sz w:val="32"/>
          <w:szCs w:val="32"/>
        </w:rPr>
        <w:t>（6）对符合招标文件实质性要求，但在个别内容存在遗漏或者提供的技术信息、数据等方面有细微偏差的投标文件，书面要求投标人提供书面澄清材料；</w:t>
      </w:r>
    </w:p>
    <w:p>
      <w:pPr>
        <w:spacing w:line="579" w:lineRule="exact"/>
        <w:ind w:firstLine="640" w:firstLineChars="200"/>
        <w:rPr>
          <w:rFonts w:eastAsia="方正仿宋_GBK"/>
          <w:sz w:val="32"/>
          <w:szCs w:val="32"/>
        </w:rPr>
      </w:pPr>
      <w:r>
        <w:rPr>
          <w:rFonts w:eastAsia="方正仿宋_GBK"/>
          <w:sz w:val="32"/>
          <w:szCs w:val="32"/>
        </w:rPr>
        <w:t>（7）对需要共同认定的事项存在争议的，应当按照多数成员的意见作出结论，同时将所有不同意见详细记录在评标报告中；</w:t>
      </w:r>
    </w:p>
    <w:p>
      <w:pPr>
        <w:spacing w:line="579" w:lineRule="exact"/>
        <w:ind w:firstLine="640" w:firstLineChars="200"/>
        <w:rPr>
          <w:rFonts w:eastAsia="方正仿宋_GBK"/>
          <w:sz w:val="32"/>
          <w:szCs w:val="32"/>
        </w:rPr>
      </w:pPr>
      <w:r>
        <w:rPr>
          <w:rFonts w:eastAsia="方正仿宋_GBK"/>
          <w:sz w:val="32"/>
          <w:szCs w:val="32"/>
        </w:rPr>
        <w:t>（8）按照评标情况推荐中标候选人；</w:t>
      </w:r>
    </w:p>
    <w:p>
      <w:pPr>
        <w:spacing w:line="579" w:lineRule="exact"/>
        <w:ind w:firstLine="640" w:firstLineChars="200"/>
        <w:rPr>
          <w:rFonts w:eastAsia="方正仿宋_GBK"/>
          <w:sz w:val="32"/>
          <w:szCs w:val="32"/>
        </w:rPr>
      </w:pPr>
      <w:r>
        <w:rPr>
          <w:rFonts w:eastAsia="方正仿宋_GBK"/>
          <w:sz w:val="32"/>
          <w:szCs w:val="32"/>
        </w:rPr>
        <w:t>（9）向招标人提交书面评标报告；</w:t>
      </w:r>
    </w:p>
    <w:p>
      <w:pPr>
        <w:spacing w:line="579" w:lineRule="exact"/>
        <w:ind w:firstLine="640" w:firstLineChars="200"/>
        <w:rPr>
          <w:rFonts w:eastAsia="方正仿宋_GBK"/>
          <w:sz w:val="32"/>
          <w:szCs w:val="32"/>
        </w:rPr>
      </w:pPr>
      <w:r>
        <w:rPr>
          <w:rFonts w:eastAsia="方正仿宋_GBK"/>
          <w:sz w:val="32"/>
          <w:szCs w:val="32"/>
        </w:rPr>
        <w:t>（10）法律、法规规定的其他要求和程序。</w:t>
      </w:r>
    </w:p>
    <w:p>
      <w:pPr>
        <w:spacing w:line="579" w:lineRule="exact"/>
        <w:ind w:firstLine="640" w:firstLineChars="200"/>
        <w:rPr>
          <w:rFonts w:eastAsia="方正仿宋_GBK"/>
          <w:sz w:val="32"/>
          <w:szCs w:val="32"/>
        </w:rPr>
      </w:pPr>
      <w:r>
        <w:rPr>
          <w:rFonts w:eastAsia="方正仿宋_GBK"/>
          <w:sz w:val="32"/>
          <w:szCs w:val="32"/>
        </w:rPr>
        <w:t>有效投标不足三个的，评标委员会应当对有效投标是否仍具有竞争性进行评审。评标委员会一致认为有效投标仍具有竞争性的，应当继续推荐中标候选人；评标委员会对有效投标是否仍具有竞争性无法达成一致意见的，应当否决全部投标。评标委员会应当在评标报告中记载论证过程和结果。</w:t>
      </w:r>
    </w:p>
    <w:p>
      <w:pPr>
        <w:spacing w:line="579" w:lineRule="exact"/>
        <w:ind w:firstLine="640" w:firstLineChars="200"/>
        <w:rPr>
          <w:rFonts w:eastAsia="方正仿宋_GBK"/>
          <w:sz w:val="32"/>
          <w:szCs w:val="32"/>
        </w:rPr>
      </w:pPr>
      <w:r>
        <w:rPr>
          <w:rFonts w:eastAsia="方正仿宋_GBK"/>
          <w:sz w:val="32"/>
          <w:szCs w:val="32"/>
        </w:rPr>
        <w:t>招标文件存在歧义、重大缺陷导致评标工作无法进行的，评标委员会应当停止评标工作，与招标人沟通并作书面记录。招标人确认后，应当修改招标文件，重新招标。</w:t>
      </w:r>
    </w:p>
    <w:p>
      <w:pPr>
        <w:spacing w:line="579" w:lineRule="exact"/>
        <w:ind w:firstLine="640" w:firstLineChars="200"/>
        <w:rPr>
          <w:rFonts w:eastAsia="方正仿宋_GBK"/>
          <w:sz w:val="32"/>
          <w:szCs w:val="32"/>
        </w:rPr>
      </w:pPr>
      <w:r>
        <w:rPr>
          <w:rFonts w:eastAsia="方正仿宋_GBK"/>
          <w:sz w:val="32"/>
          <w:szCs w:val="32"/>
        </w:rPr>
        <w:t>6．评标委员会成员不得记录、复制或者从评标现场带离任何评标资料。招标人、评标委员会成员和与评标活动有关的人员不得泄露、侵犯投标人的技术秘密和商业秘密，不得泄露对投标文件的比较和评审、中标候选人的推荐情况以及与评标有关的其他情况。招标代理不得将评标资料遗留在评标现场，不得随意丢弃评标资料。</w:t>
      </w:r>
    </w:p>
    <w:p>
      <w:pPr>
        <w:spacing w:line="579" w:lineRule="exact"/>
        <w:ind w:firstLine="640" w:firstLineChars="200"/>
        <w:rPr>
          <w:rFonts w:eastAsia="方正仿宋_GBK"/>
          <w:sz w:val="32"/>
          <w:szCs w:val="32"/>
        </w:rPr>
      </w:pPr>
      <w:r>
        <w:rPr>
          <w:rFonts w:eastAsia="方正仿宋_GBK"/>
          <w:sz w:val="32"/>
          <w:szCs w:val="32"/>
        </w:rPr>
        <w:t xml:space="preserve">7．招标人应当在中标候选人公示前审查评标委员会提交的书面评标报告，发现评标过程中存在串通投标和弄虚作假情形的，应当及时书面向行政监督部门报告，并配合后续调查取证工作。 招标人应当在中标候选人公示前审查评标委员会提交的书面评标报告，发现违法行为的，应当及时向有关招标投标行政监督部门报告。  </w:t>
      </w:r>
    </w:p>
    <w:p>
      <w:pPr>
        <w:spacing w:line="579" w:lineRule="exact"/>
        <w:ind w:firstLine="640" w:firstLineChars="200"/>
        <w:rPr>
          <w:rFonts w:eastAsia="方正仿宋_GBK"/>
        </w:rPr>
      </w:pPr>
      <w:r>
        <w:rPr>
          <w:rFonts w:eastAsia="方正仿宋_GBK"/>
          <w:sz w:val="32"/>
          <w:szCs w:val="32"/>
        </w:rPr>
        <w:t>8．采用“评定分离”方式确定中标人的招标项目，评标委员会评标结束后应当向招标人提交评标报告，按照评标结果的优劣顺序和招标文件明确的数量，推荐3至7名不排序的中标候选人。提交的评标报告中应明确记录中标候选人的优势、缺点、风险等评审情况和推荐理由，并对技术、质量、安全、工期（服务期）的控制能力等提供技术咨询建议。招标人应在招标文件中明确当符合招标文件要求的合格投标人少于3名时是否授权评标委员会作出具备竞争性判断，如具备竞争性，可继续推荐中标候选人。经评标委员会评审，当符合招标文件要求的合格投标人少于招标文件规定的数量，但不少于3名时，全部推荐为中标候选人。</w:t>
      </w:r>
    </w:p>
    <w:p>
      <w:pPr>
        <w:spacing w:line="579" w:lineRule="exact"/>
        <w:ind w:firstLine="640" w:firstLineChars="200"/>
        <w:rPr>
          <w:rFonts w:eastAsia="方正楷体_GBK"/>
          <w:bCs/>
          <w:sz w:val="32"/>
          <w:szCs w:val="32"/>
        </w:rPr>
      </w:pPr>
      <w:r>
        <w:rPr>
          <w:rFonts w:eastAsia="方正楷体_GBK"/>
          <w:bCs/>
          <w:sz w:val="32"/>
          <w:szCs w:val="32"/>
        </w:rPr>
        <w:t>（五）中标候选人公示</w:t>
      </w:r>
    </w:p>
    <w:p>
      <w:pPr>
        <w:pStyle w:val="7"/>
        <w:spacing w:after="0" w:line="579" w:lineRule="exact"/>
        <w:ind w:firstLine="640" w:firstLineChars="200"/>
        <w:rPr>
          <w:rFonts w:eastAsia="方正仿宋_GBK"/>
        </w:rPr>
      </w:pPr>
      <w:r>
        <w:rPr>
          <w:rFonts w:eastAsia="方正仿宋_GBK"/>
          <w:sz w:val="32"/>
          <w:szCs w:val="32"/>
        </w:rPr>
        <w:t>1．招标人自收到评标报告之日起3日内公示中标候选人，公示期不得少于3日。开始的当日不计入，自下一日开始计算；最后一日是法定休假日的，以法定休假日结束的次日为最后一日。在确定中标人前，招标人不得与投标人就投标价格、投标方案等实质性内容进行谈判。</w:t>
      </w:r>
    </w:p>
    <w:p>
      <w:pPr>
        <w:spacing w:line="579" w:lineRule="exact"/>
        <w:ind w:firstLine="640" w:firstLineChars="200"/>
        <w:rPr>
          <w:rFonts w:eastAsia="方正仿宋_GBK"/>
          <w:sz w:val="32"/>
          <w:szCs w:val="32"/>
        </w:rPr>
      </w:pPr>
      <w:r>
        <w:rPr>
          <w:rFonts w:eastAsia="方正仿宋_GBK"/>
          <w:sz w:val="32"/>
          <w:szCs w:val="32"/>
        </w:rPr>
        <w:t>公示内容包括：</w:t>
      </w:r>
    </w:p>
    <w:p>
      <w:pPr>
        <w:spacing w:line="579" w:lineRule="exact"/>
        <w:ind w:firstLine="640" w:firstLineChars="200"/>
        <w:rPr>
          <w:rFonts w:eastAsia="方正仿宋_GBK"/>
          <w:sz w:val="32"/>
          <w:szCs w:val="32"/>
        </w:rPr>
      </w:pPr>
      <w:r>
        <w:rPr>
          <w:rFonts w:eastAsia="方正仿宋_GBK"/>
          <w:sz w:val="32"/>
          <w:szCs w:val="32"/>
        </w:rPr>
        <w:t>（1）中标候选人名称、投标报价，对工程质量要求、安全目标和工期的响应情况；</w:t>
      </w:r>
    </w:p>
    <w:p>
      <w:pPr>
        <w:spacing w:line="579" w:lineRule="exact"/>
        <w:ind w:firstLine="640" w:firstLineChars="200"/>
        <w:rPr>
          <w:rFonts w:eastAsia="方正仿宋_GBK"/>
          <w:sz w:val="32"/>
          <w:szCs w:val="32"/>
        </w:rPr>
      </w:pPr>
      <w:r>
        <w:rPr>
          <w:rFonts w:eastAsia="方正仿宋_GBK"/>
          <w:sz w:val="32"/>
          <w:szCs w:val="32"/>
        </w:rPr>
        <w:t>（2）中标候选人在投标文件中承诺的项目经理和项目总工（如有）姓名、个人业绩、相关证书名称和编号；</w:t>
      </w:r>
    </w:p>
    <w:p>
      <w:pPr>
        <w:spacing w:line="579" w:lineRule="exact"/>
        <w:ind w:firstLine="640" w:firstLineChars="200"/>
        <w:rPr>
          <w:rFonts w:eastAsia="方正仿宋_GBK"/>
          <w:sz w:val="32"/>
          <w:szCs w:val="32"/>
        </w:rPr>
      </w:pPr>
      <w:r>
        <w:rPr>
          <w:rFonts w:eastAsia="方正仿宋_GBK"/>
          <w:sz w:val="32"/>
          <w:szCs w:val="32"/>
        </w:rPr>
        <w:t>（3）中标候选人在投标文件中填报的项目业绩；</w:t>
      </w:r>
    </w:p>
    <w:p>
      <w:pPr>
        <w:spacing w:line="579" w:lineRule="exact"/>
        <w:ind w:firstLine="640" w:firstLineChars="200"/>
        <w:rPr>
          <w:rFonts w:eastAsia="方正仿宋_GBK"/>
          <w:sz w:val="32"/>
          <w:szCs w:val="32"/>
        </w:rPr>
      </w:pPr>
      <w:r>
        <w:rPr>
          <w:rFonts w:eastAsia="方正仿宋_GBK"/>
          <w:sz w:val="32"/>
          <w:szCs w:val="32"/>
        </w:rPr>
        <w:t>（4）被否决投标的投标人名称、否决依据和原因；</w:t>
      </w:r>
    </w:p>
    <w:p>
      <w:pPr>
        <w:spacing w:line="579" w:lineRule="exact"/>
        <w:ind w:firstLine="640" w:firstLineChars="200"/>
        <w:rPr>
          <w:rFonts w:eastAsia="方正仿宋_GBK"/>
          <w:sz w:val="32"/>
          <w:szCs w:val="32"/>
        </w:rPr>
      </w:pPr>
      <w:r>
        <w:rPr>
          <w:rFonts w:eastAsia="方正仿宋_GBK"/>
          <w:sz w:val="32"/>
          <w:szCs w:val="32"/>
        </w:rPr>
        <w:t>（5）提出异议的渠道和方式；</w:t>
      </w:r>
    </w:p>
    <w:p>
      <w:pPr>
        <w:spacing w:line="579" w:lineRule="exact"/>
        <w:ind w:firstLine="640" w:firstLineChars="200"/>
        <w:rPr>
          <w:rFonts w:eastAsia="方正仿宋_GBK"/>
          <w:sz w:val="32"/>
          <w:szCs w:val="32"/>
        </w:rPr>
      </w:pPr>
      <w:r>
        <w:rPr>
          <w:rFonts w:eastAsia="方正仿宋_GBK"/>
          <w:sz w:val="32"/>
          <w:szCs w:val="32"/>
        </w:rPr>
        <w:t>（6）评审技术标的评标委员会成员对各投标人技术标部分的评分情况（评标委员会成员的名单不公布）、各投标人的最终总得分及《江苏省国有资金投资工程建设项目招标投标管理办法》第二十七条规定应当公示的其他事项；</w:t>
      </w:r>
    </w:p>
    <w:p>
      <w:pPr>
        <w:spacing w:line="579" w:lineRule="exact"/>
        <w:ind w:firstLine="640" w:firstLineChars="200"/>
        <w:rPr>
          <w:rFonts w:eastAsia="方正仿宋_GBK"/>
          <w:sz w:val="32"/>
          <w:szCs w:val="32"/>
        </w:rPr>
      </w:pPr>
      <w:r>
        <w:rPr>
          <w:rFonts w:eastAsia="方正仿宋_GBK"/>
          <w:sz w:val="32"/>
          <w:szCs w:val="32"/>
        </w:rPr>
        <w:t>（7）投标人须知前附表规定公示的其他内容。</w:t>
      </w:r>
    </w:p>
    <w:p>
      <w:pPr>
        <w:spacing w:line="579" w:lineRule="exact"/>
        <w:ind w:firstLine="640" w:firstLineChars="200"/>
        <w:rPr>
          <w:rFonts w:eastAsia="方正仿宋_GBK"/>
          <w:sz w:val="32"/>
          <w:szCs w:val="32"/>
        </w:rPr>
      </w:pPr>
      <w:r>
        <w:rPr>
          <w:rFonts w:eastAsia="方正仿宋_GBK"/>
          <w:sz w:val="32"/>
          <w:szCs w:val="32"/>
        </w:rPr>
        <w:t>2．采用“评定分离”招标的项目，拟定中标人公示应当载明拟定中标人的名称、投标价格、项目负责人等信息，采用票决法的应当包括推荐中标人的得票情况，采用集体议事法的应当包括定标委员会负责人推荐中标人的理由，提出异议和投诉的渠道方式，以及法律法规和招标文件规定公示的其他内容。</w:t>
      </w:r>
    </w:p>
    <w:p>
      <w:pPr>
        <w:spacing w:line="579" w:lineRule="exact"/>
        <w:ind w:firstLine="640" w:firstLineChars="200"/>
        <w:rPr>
          <w:rFonts w:eastAsia="方正仿宋_GBK"/>
          <w:sz w:val="32"/>
          <w:szCs w:val="32"/>
        </w:rPr>
      </w:pPr>
      <w:r>
        <w:rPr>
          <w:rFonts w:eastAsia="方正仿宋_GBK"/>
          <w:sz w:val="32"/>
          <w:szCs w:val="32"/>
        </w:rPr>
        <w:t>采用“评定分离”的评标办法进行评标的项目，招标人应当自收到评标报告之日起3日内依法进行评标结果公示，公示期不得少于3日。投标人或者其他利害关系人对评标结果有异议的，应当在评标结果公示期间提出。招标人应当自收到异议之日起3日内作出答复；作出答复前，应当暂停招标投标活动。异议或投诉成立，取消相应中标候选人资格是否重新推荐或补充中标候选人，由招标人在招标文件中明确。重新推荐或补充新中标候选人的，应当重新公示中标候选人，公示期不得少于3日。</w:t>
      </w:r>
    </w:p>
    <w:p>
      <w:pPr>
        <w:spacing w:line="579" w:lineRule="exact"/>
        <w:ind w:firstLine="640" w:firstLineChars="200"/>
        <w:rPr>
          <w:rFonts w:eastAsia="方正仿宋_GBK"/>
          <w:sz w:val="32"/>
          <w:szCs w:val="32"/>
        </w:rPr>
      </w:pPr>
      <w:r>
        <w:rPr>
          <w:rFonts w:eastAsia="方正仿宋_GBK"/>
          <w:sz w:val="32"/>
          <w:szCs w:val="32"/>
        </w:rPr>
        <w:t>招标人应当在评标结果公示结束后10个工作日内在交易中心组织定标会，确定中标候选人；在定标工作完成后的3日内依法公示中标候选人，公示期不得少于3日。</w:t>
      </w:r>
    </w:p>
    <w:p>
      <w:pPr>
        <w:spacing w:line="579" w:lineRule="exact"/>
        <w:ind w:firstLine="640" w:firstLineChars="200"/>
        <w:rPr>
          <w:rFonts w:eastAsia="方正楷体_GBK"/>
          <w:bCs/>
          <w:sz w:val="32"/>
          <w:szCs w:val="32"/>
        </w:rPr>
      </w:pPr>
      <w:r>
        <w:rPr>
          <w:rFonts w:eastAsia="方正楷体_GBK"/>
          <w:bCs/>
          <w:sz w:val="32"/>
          <w:szCs w:val="32"/>
        </w:rPr>
        <w:t>（六）中标及合同签订</w:t>
      </w:r>
    </w:p>
    <w:p>
      <w:pPr>
        <w:spacing w:line="579" w:lineRule="exact"/>
        <w:ind w:firstLine="640" w:firstLineChars="200"/>
        <w:rPr>
          <w:rFonts w:eastAsia="方正仿宋_GBK"/>
          <w:sz w:val="32"/>
          <w:szCs w:val="32"/>
        </w:rPr>
      </w:pPr>
      <w:r>
        <w:rPr>
          <w:rFonts w:eastAsia="方正仿宋_GBK"/>
          <w:sz w:val="32"/>
          <w:szCs w:val="32"/>
        </w:rPr>
        <w:t>1．确定中标人</w:t>
      </w:r>
    </w:p>
    <w:p>
      <w:pPr>
        <w:spacing w:line="579" w:lineRule="exact"/>
        <w:ind w:firstLine="640" w:firstLineChars="200"/>
        <w:rPr>
          <w:rFonts w:eastAsia="方正仿宋_GBK"/>
          <w:sz w:val="32"/>
          <w:szCs w:val="32"/>
        </w:rPr>
      </w:pPr>
      <w:r>
        <w:rPr>
          <w:rFonts w:eastAsia="方正仿宋_GBK"/>
          <w:sz w:val="32"/>
          <w:szCs w:val="32"/>
        </w:rPr>
        <w:t>评标结果公示期满且无异议的，按照投标人须知前附表的规定，招标人应当在收到评标报告之日起十五日内依法确定中标人。</w:t>
      </w:r>
    </w:p>
    <w:p>
      <w:pPr>
        <w:spacing w:line="579" w:lineRule="exact"/>
        <w:ind w:firstLine="640" w:firstLineChars="200"/>
        <w:rPr>
          <w:rFonts w:eastAsia="方正仿宋_GBK"/>
          <w:sz w:val="32"/>
          <w:szCs w:val="32"/>
        </w:rPr>
      </w:pPr>
      <w:r>
        <w:rPr>
          <w:rFonts w:eastAsia="方正仿宋_GBK"/>
          <w:sz w:val="32"/>
          <w:szCs w:val="32"/>
        </w:rPr>
        <w:t>采用“评定分离”，由招标人依法组建的评标委员会根据招标文件规定的评标标准和方法对投标文件的价格、技术、质量、品牌，投标人履约能力等因素进行评审后，向招标人推荐一定数量不排序的合格的中标候选人，再由招标人组建定标委员会，根据定标方案，按照规定的决策程序，择优确定中标人。</w:t>
      </w:r>
    </w:p>
    <w:p>
      <w:pPr>
        <w:pStyle w:val="7"/>
        <w:spacing w:after="0" w:line="579" w:lineRule="exact"/>
        <w:ind w:firstLine="640" w:firstLineChars="200"/>
        <w:rPr>
          <w:rFonts w:eastAsia="方正仿宋_GBK"/>
        </w:rPr>
      </w:pPr>
      <w:r>
        <w:rPr>
          <w:rFonts w:eastAsia="方正仿宋_GBK"/>
          <w:sz w:val="32"/>
          <w:szCs w:val="32"/>
        </w:rPr>
        <w:t>中标候选人的经营、财务状况发生较大变化或者存在违法行为，招标人认为可能影响其履约能力的，应当在发出中标通知书前由原评标委员会按照招标文件规定的标准和方法审查确认。</w:t>
      </w:r>
    </w:p>
    <w:p>
      <w:pPr>
        <w:spacing w:line="579" w:lineRule="exact"/>
        <w:ind w:firstLine="640" w:firstLineChars="200"/>
        <w:rPr>
          <w:rFonts w:eastAsia="方正仿宋_GBK"/>
          <w:sz w:val="32"/>
          <w:szCs w:val="32"/>
        </w:rPr>
      </w:pPr>
      <w:r>
        <w:rPr>
          <w:rFonts w:eastAsia="方正仿宋_GBK"/>
          <w:sz w:val="32"/>
          <w:szCs w:val="32"/>
        </w:rPr>
        <w:t>2．发放中标通知书</w:t>
      </w:r>
    </w:p>
    <w:p>
      <w:pPr>
        <w:pStyle w:val="7"/>
        <w:spacing w:after="0" w:line="579" w:lineRule="exact"/>
        <w:ind w:firstLine="640" w:firstLineChars="200"/>
        <w:rPr>
          <w:rFonts w:eastAsia="方正仿宋_GBK"/>
        </w:rPr>
      </w:pPr>
      <w:r>
        <w:rPr>
          <w:rFonts w:eastAsia="方正仿宋_GBK"/>
          <w:sz w:val="32"/>
          <w:szCs w:val="32"/>
        </w:rPr>
        <w:t>中标候选人公示期满无异议后，招标人应当向中标人发出中标通知书，同时按规定的格式在交易系统发出中标结果公告，将中标结果通知未中标的投标人。中标结果公告内容包括中标人名称、中标价、项目负责人姓名、中标工期、招标人定标原因及依据等。同步锁定项目经理、项目总监等负责人。招标人不得存在下列行为：</w:t>
      </w:r>
    </w:p>
    <w:p>
      <w:pPr>
        <w:pStyle w:val="7"/>
        <w:spacing w:after="0" w:line="579" w:lineRule="exact"/>
        <w:ind w:left="638" w:leftChars="304"/>
        <w:rPr>
          <w:rFonts w:eastAsia="方正仿宋_GBK"/>
        </w:rPr>
      </w:pPr>
      <w:r>
        <w:rPr>
          <w:rFonts w:eastAsia="方正仿宋_GBK"/>
          <w:sz w:val="32"/>
          <w:szCs w:val="32"/>
        </w:rPr>
        <w:t>（1）无正当理由不发出中标通知书；</w:t>
      </w:r>
      <w:r>
        <w:rPr>
          <w:rFonts w:eastAsia="方正仿宋_GBK"/>
          <w:sz w:val="32"/>
          <w:szCs w:val="32"/>
        </w:rPr>
        <w:br w:type="textWrapping"/>
      </w:r>
      <w:r>
        <w:rPr>
          <w:rFonts w:eastAsia="方正仿宋_GBK"/>
          <w:sz w:val="32"/>
          <w:szCs w:val="32"/>
        </w:rPr>
        <w:t>（2）不按照规定确定中标人；</w:t>
      </w:r>
      <w:r>
        <w:rPr>
          <w:rFonts w:eastAsia="方正仿宋_GBK"/>
          <w:sz w:val="32"/>
          <w:szCs w:val="32"/>
        </w:rPr>
        <w:br w:type="textWrapping"/>
      </w:r>
      <w:r>
        <w:rPr>
          <w:rFonts w:eastAsia="方正仿宋_GBK"/>
          <w:sz w:val="32"/>
          <w:szCs w:val="32"/>
        </w:rPr>
        <w:t>（3）中标通知书发出后无正当理由改变中标结果。</w:t>
      </w:r>
    </w:p>
    <w:p>
      <w:pPr>
        <w:spacing w:line="579" w:lineRule="exact"/>
        <w:ind w:firstLine="640" w:firstLineChars="200"/>
        <w:rPr>
          <w:rFonts w:eastAsia="方正仿宋_GBK"/>
          <w:sz w:val="32"/>
          <w:szCs w:val="32"/>
        </w:rPr>
      </w:pPr>
      <w:r>
        <w:rPr>
          <w:rFonts w:eastAsia="方正仿宋_GBK"/>
          <w:sz w:val="32"/>
          <w:szCs w:val="32"/>
        </w:rPr>
        <w:t>3．招标投标书面情况报告备案</w:t>
      </w:r>
    </w:p>
    <w:p>
      <w:pPr>
        <w:spacing w:line="579" w:lineRule="exact"/>
        <w:ind w:firstLine="640" w:firstLineChars="200"/>
        <w:rPr>
          <w:rFonts w:eastAsia="方正仿宋_GBK"/>
          <w:sz w:val="32"/>
          <w:szCs w:val="32"/>
        </w:rPr>
      </w:pPr>
      <w:r>
        <w:rPr>
          <w:rFonts w:eastAsia="方正仿宋_GBK"/>
          <w:sz w:val="32"/>
          <w:szCs w:val="32"/>
        </w:rPr>
        <w:t>招标人应当自确定中标人之日（即中标通知书或中标公告发出之日）起15日内，按照规定向招投标监督部门提交附有评标报告、中标结果的书面报告。书面情况报告要求格式详见附件3。</w:t>
      </w:r>
    </w:p>
    <w:p>
      <w:pPr>
        <w:spacing w:line="579" w:lineRule="exact"/>
        <w:ind w:firstLine="640" w:firstLineChars="200"/>
        <w:rPr>
          <w:rFonts w:eastAsia="方正仿宋_GBK"/>
          <w:sz w:val="32"/>
          <w:szCs w:val="32"/>
        </w:rPr>
      </w:pPr>
      <w:r>
        <w:rPr>
          <w:rFonts w:eastAsia="方正仿宋_GBK"/>
          <w:sz w:val="32"/>
          <w:szCs w:val="32"/>
        </w:rPr>
        <w:t>4．提交履约保证金</w:t>
      </w:r>
    </w:p>
    <w:p>
      <w:pPr>
        <w:spacing w:line="579" w:lineRule="exact"/>
        <w:ind w:firstLine="640" w:firstLineChars="200"/>
        <w:rPr>
          <w:rFonts w:eastAsia="方正仿宋_GBK"/>
          <w:sz w:val="32"/>
          <w:szCs w:val="32"/>
        </w:rPr>
      </w:pPr>
      <w:r>
        <w:rPr>
          <w:rFonts w:eastAsia="方正仿宋_GBK"/>
          <w:sz w:val="32"/>
          <w:szCs w:val="32"/>
        </w:rPr>
        <w:t>中标人应按招标文件规定的形式、金额、格式或事先经过招标人书面认可的履约保证金格式向招标人提交履约保证金。</w:t>
      </w:r>
    </w:p>
    <w:p>
      <w:pPr>
        <w:spacing w:line="579" w:lineRule="exact"/>
        <w:ind w:firstLine="640" w:firstLineChars="200"/>
        <w:rPr>
          <w:rFonts w:eastAsia="方正仿宋_GBK"/>
          <w:sz w:val="32"/>
          <w:szCs w:val="32"/>
        </w:rPr>
      </w:pPr>
      <w:r>
        <w:rPr>
          <w:rFonts w:eastAsia="方正仿宋_GBK"/>
          <w:sz w:val="32"/>
          <w:szCs w:val="32"/>
        </w:rPr>
        <w:t>5．合同签订</w:t>
      </w:r>
    </w:p>
    <w:p>
      <w:pPr>
        <w:spacing w:line="579" w:lineRule="exact"/>
        <w:ind w:firstLine="640" w:firstLineChars="200"/>
        <w:rPr>
          <w:rFonts w:eastAsia="方正仿宋_GBK"/>
          <w:sz w:val="32"/>
          <w:szCs w:val="32"/>
        </w:rPr>
      </w:pPr>
      <w:r>
        <w:rPr>
          <w:rFonts w:eastAsia="方正仿宋_GBK"/>
          <w:sz w:val="32"/>
          <w:szCs w:val="32"/>
        </w:rPr>
        <w:t>（1）招标人与中标人应当在中标通知书发放后30日内，根据招标文件和中标人的投标文件订立书面合同，包含廉政合同及安全生产合同，明确双方权利和义务以及应承担的违约责任，不得再行订立背离合同实质性内容的其他协议。联合体中标的，联合体各方应共同与招标人签订合同，就中标项目向招标人承担连带责任。</w:t>
      </w:r>
    </w:p>
    <w:p>
      <w:pPr>
        <w:spacing w:line="579" w:lineRule="exact"/>
        <w:ind w:firstLine="640" w:firstLineChars="200"/>
        <w:rPr>
          <w:rFonts w:eastAsia="方正仿宋_GBK"/>
          <w:sz w:val="32"/>
          <w:szCs w:val="32"/>
        </w:rPr>
      </w:pPr>
      <w:r>
        <w:rPr>
          <w:rFonts w:eastAsia="方正仿宋_GBK"/>
          <w:sz w:val="32"/>
          <w:szCs w:val="32"/>
        </w:rPr>
        <w:t>（2）招标人最迟应当在合同签订后5日内向中标人和未中标的投标人退还投标保证金以及银行同期存款利息。</w:t>
      </w:r>
    </w:p>
    <w:p>
      <w:pPr>
        <w:spacing w:line="579" w:lineRule="exact"/>
        <w:ind w:firstLine="640" w:firstLineChars="200"/>
        <w:rPr>
          <w:rFonts w:eastAsia="方正仿宋_GBK"/>
          <w:sz w:val="32"/>
          <w:szCs w:val="32"/>
        </w:rPr>
      </w:pPr>
      <w:r>
        <w:rPr>
          <w:rFonts w:eastAsia="方正仿宋_GBK"/>
          <w:sz w:val="32"/>
          <w:szCs w:val="32"/>
        </w:rPr>
        <w:t>利息计算原则：</w:t>
      </w:r>
    </w:p>
    <w:p>
      <w:pPr>
        <w:spacing w:line="579" w:lineRule="exact"/>
        <w:ind w:firstLine="640" w:firstLineChars="200"/>
        <w:rPr>
          <w:rFonts w:eastAsia="方正仿宋_GBK"/>
          <w:sz w:val="32"/>
          <w:szCs w:val="32"/>
        </w:rPr>
      </w:pPr>
      <w:r>
        <w:rPr>
          <w:rFonts w:hint="eastAsia" w:ascii="宋体" w:hAnsi="宋体" w:cs="宋体"/>
          <w:sz w:val="32"/>
          <w:szCs w:val="32"/>
        </w:rPr>
        <w:t>①</w:t>
      </w:r>
      <w:r>
        <w:rPr>
          <w:rFonts w:eastAsia="方正仿宋_GBK"/>
          <w:sz w:val="32"/>
          <w:szCs w:val="32"/>
        </w:rPr>
        <w:t>计算利息的起始日期为投标截止当日，终止日期为招标人退还投标保证金日期的前一日；</w:t>
      </w:r>
    </w:p>
    <w:p>
      <w:pPr>
        <w:spacing w:line="579" w:lineRule="exact"/>
        <w:ind w:firstLine="640" w:firstLineChars="200"/>
        <w:rPr>
          <w:rFonts w:eastAsia="方正仿宋_GBK"/>
          <w:sz w:val="32"/>
          <w:szCs w:val="32"/>
        </w:rPr>
      </w:pPr>
      <w:r>
        <w:rPr>
          <w:rFonts w:hint="eastAsia" w:ascii="宋体" w:hAnsi="宋体" w:cs="宋体"/>
          <w:sz w:val="32"/>
          <w:szCs w:val="32"/>
        </w:rPr>
        <w:t>②</w:t>
      </w:r>
      <w:r>
        <w:rPr>
          <w:rFonts w:eastAsia="方正仿宋_GBK"/>
          <w:sz w:val="32"/>
          <w:szCs w:val="32"/>
        </w:rPr>
        <w:t>投标保证金的利息按照第</w:t>
      </w:r>
      <w:r>
        <w:rPr>
          <w:rFonts w:hint="eastAsia" w:ascii="宋体" w:hAnsi="宋体" w:cs="宋体"/>
          <w:sz w:val="32"/>
          <w:szCs w:val="32"/>
        </w:rPr>
        <w:t>①</w:t>
      </w:r>
      <w:r>
        <w:rPr>
          <w:rFonts w:eastAsia="方正仿宋_GBK"/>
          <w:sz w:val="32"/>
          <w:szCs w:val="32"/>
        </w:rPr>
        <w:t>款所述计息时间段内招标人指定汇入银行公告的活期存款利率计付，并扣除招标人汇款手续费；</w:t>
      </w:r>
    </w:p>
    <w:p>
      <w:pPr>
        <w:spacing w:line="579" w:lineRule="exact"/>
        <w:ind w:firstLine="640" w:firstLineChars="200"/>
        <w:rPr>
          <w:rFonts w:eastAsia="方正仿宋_GBK"/>
          <w:sz w:val="32"/>
          <w:szCs w:val="32"/>
        </w:rPr>
      </w:pPr>
      <w:r>
        <w:rPr>
          <w:rFonts w:hint="eastAsia" w:ascii="宋体" w:hAnsi="宋体" w:cs="宋体"/>
          <w:sz w:val="32"/>
          <w:szCs w:val="32"/>
        </w:rPr>
        <w:t>③</w:t>
      </w:r>
      <w:r>
        <w:rPr>
          <w:rFonts w:eastAsia="方正仿宋_GBK"/>
          <w:sz w:val="32"/>
          <w:szCs w:val="32"/>
        </w:rPr>
        <w:t>利息金额计算至分位，分以下尾数四舍五入。</w:t>
      </w:r>
    </w:p>
    <w:p>
      <w:pPr>
        <w:pStyle w:val="7"/>
        <w:spacing w:after="0" w:line="579" w:lineRule="exact"/>
        <w:ind w:left="958" w:leftChars="304" w:hanging="320" w:hangingChars="100"/>
        <w:rPr>
          <w:rFonts w:eastAsia="方正仿宋_GBK"/>
          <w:sz w:val="32"/>
          <w:szCs w:val="32"/>
        </w:rPr>
      </w:pPr>
      <w:r>
        <w:rPr>
          <w:rFonts w:eastAsia="方正仿宋_GBK"/>
          <w:sz w:val="32"/>
          <w:szCs w:val="32"/>
        </w:rPr>
        <w:t>（3）招标人不得存在下列行为：</w:t>
      </w:r>
    </w:p>
    <w:p>
      <w:pPr>
        <w:pStyle w:val="7"/>
        <w:spacing w:after="0" w:line="579" w:lineRule="exact"/>
        <w:ind w:left="958" w:leftChars="304" w:hanging="320" w:hangingChars="100"/>
        <w:rPr>
          <w:rFonts w:eastAsia="方正仿宋_GBK"/>
          <w:sz w:val="32"/>
          <w:szCs w:val="32"/>
        </w:rPr>
      </w:pPr>
      <w:r>
        <w:rPr>
          <w:rFonts w:hint="eastAsia" w:ascii="宋体" w:hAnsi="宋体" w:cs="宋体"/>
          <w:sz w:val="32"/>
          <w:szCs w:val="32"/>
        </w:rPr>
        <w:t>①</w:t>
      </w:r>
      <w:r>
        <w:rPr>
          <w:rFonts w:eastAsia="方正仿宋_GBK"/>
          <w:sz w:val="32"/>
          <w:szCs w:val="32"/>
        </w:rPr>
        <w:t>无正当理由不与中标人订立合同；</w:t>
      </w:r>
    </w:p>
    <w:p>
      <w:pPr>
        <w:pStyle w:val="7"/>
        <w:spacing w:after="0" w:line="579" w:lineRule="exact"/>
        <w:ind w:left="958" w:leftChars="304" w:hanging="320" w:hangingChars="100"/>
        <w:rPr>
          <w:rFonts w:eastAsia="仿宋"/>
          <w:color w:val="F79646" w:themeColor="accent6"/>
          <w14:textFill>
            <w14:solidFill>
              <w14:schemeClr w14:val="accent6"/>
            </w14:solidFill>
          </w14:textFill>
        </w:rPr>
      </w:pPr>
      <w:r>
        <w:rPr>
          <w:rFonts w:hint="eastAsia" w:ascii="宋体" w:hAnsi="宋体" w:cs="宋体"/>
          <w:sz w:val="32"/>
          <w:szCs w:val="32"/>
        </w:rPr>
        <w:t>②</w:t>
      </w:r>
      <w:r>
        <w:rPr>
          <w:rFonts w:eastAsia="方正仿宋_GBK"/>
          <w:sz w:val="32"/>
          <w:szCs w:val="32"/>
        </w:rPr>
        <w:t>在订立合同时向中标人提出附加条件。</w:t>
      </w:r>
    </w:p>
    <w:p>
      <w:pPr>
        <w:spacing w:line="579" w:lineRule="exact"/>
        <w:ind w:firstLine="640" w:firstLineChars="200"/>
        <w:rPr>
          <w:rFonts w:eastAsia="方正楷体_GBK"/>
          <w:bCs/>
          <w:sz w:val="32"/>
          <w:szCs w:val="32"/>
        </w:rPr>
      </w:pPr>
      <w:r>
        <w:rPr>
          <w:rFonts w:eastAsia="方正楷体_GBK"/>
          <w:bCs/>
          <w:sz w:val="32"/>
          <w:szCs w:val="32"/>
        </w:rPr>
        <w:t>（七）异议与投诉处理</w:t>
      </w:r>
    </w:p>
    <w:p>
      <w:pPr>
        <w:pStyle w:val="7"/>
        <w:spacing w:after="0" w:line="579" w:lineRule="exact"/>
        <w:ind w:firstLine="640" w:firstLineChars="200"/>
        <w:rPr>
          <w:rFonts w:eastAsia="微软雅黑"/>
          <w:color w:val="333333"/>
          <w:szCs w:val="21"/>
        </w:rPr>
      </w:pPr>
      <w:r>
        <w:rPr>
          <w:rFonts w:eastAsia="楷体"/>
          <w:sz w:val="32"/>
          <w:szCs w:val="32"/>
        </w:rPr>
        <w:t>1．关于异议：</w:t>
      </w:r>
      <w:r>
        <w:rPr>
          <w:rFonts w:eastAsia="仿宋"/>
          <w:color w:val="333333"/>
          <w:kern w:val="0"/>
          <w:sz w:val="32"/>
          <w:szCs w:val="32"/>
        </w:rPr>
        <w:t>招标人是异议处理的责任主体，应当畅通异议渠道，在招标文件等公示信息中公布受理异议的联系人和联系方式，在法定时限内答复和处理异议。在异议处理期间应依法暂停招标投标活动，不得故意拖延、敷衍，无故回避实质性答复异议。异议答复中应当包含调查认定的事实及相关处理依据。投标人或者其他利害关系人对招标投标过程有异议的，应当按下列要求向招标人提出，招标人应及时作出答复，并将答复结果及时报送招标投标监管部门备案。</w:t>
      </w:r>
    </w:p>
    <w:p>
      <w:pPr>
        <w:shd w:val="clear" w:color="auto" w:fill="FFFFFF"/>
        <w:spacing w:line="579" w:lineRule="exact"/>
        <w:ind w:firstLine="640"/>
        <w:rPr>
          <w:rFonts w:eastAsia="微软雅黑"/>
          <w:color w:val="333333"/>
          <w:kern w:val="0"/>
          <w:szCs w:val="21"/>
        </w:rPr>
      </w:pPr>
      <w:r>
        <w:rPr>
          <w:rFonts w:eastAsia="方正仿宋_GBK"/>
          <w:sz w:val="32"/>
          <w:szCs w:val="32"/>
        </w:rPr>
        <w:t>（1）</w:t>
      </w:r>
      <w:r>
        <w:rPr>
          <w:rFonts w:eastAsia="仿宋"/>
          <w:color w:val="333333"/>
          <w:kern w:val="0"/>
          <w:sz w:val="32"/>
          <w:szCs w:val="32"/>
        </w:rPr>
        <w:t>对资格预审文件有异议的，应当在提交资格预审申请文件截止时间2日前提出；对招标文件有异议的，应当在投标截止时间10日前提出。招标人应当自收到异议之日起3日内作出答复；作出答复前，应当暂停招标投标活动。</w:t>
      </w:r>
    </w:p>
    <w:p>
      <w:pPr>
        <w:shd w:val="clear" w:color="auto" w:fill="FFFFFF"/>
        <w:spacing w:line="579" w:lineRule="exact"/>
        <w:ind w:firstLine="640"/>
        <w:rPr>
          <w:rFonts w:eastAsia="微软雅黑"/>
          <w:color w:val="333333"/>
          <w:kern w:val="0"/>
          <w:szCs w:val="21"/>
        </w:rPr>
      </w:pPr>
      <w:r>
        <w:rPr>
          <w:rFonts w:eastAsia="方正仿宋_GBK"/>
          <w:sz w:val="32"/>
          <w:szCs w:val="32"/>
        </w:rPr>
        <w:t>（2）</w:t>
      </w:r>
      <w:r>
        <w:rPr>
          <w:rFonts w:eastAsia="仿宋"/>
          <w:color w:val="333333"/>
          <w:kern w:val="0"/>
          <w:sz w:val="32"/>
          <w:szCs w:val="32"/>
        </w:rPr>
        <w:t>投标人对开标有异议的，应当在开标现场提出，招标人应当当场作出答复，并制作记录,未当场提出的视为无异议。</w:t>
      </w:r>
    </w:p>
    <w:p>
      <w:pPr>
        <w:shd w:val="clear" w:color="auto" w:fill="FFFFFF"/>
        <w:spacing w:line="579" w:lineRule="exact"/>
        <w:ind w:firstLine="640"/>
        <w:jc w:val="left"/>
        <w:rPr>
          <w:rFonts w:eastAsia="仿宋"/>
          <w:color w:val="333333"/>
          <w:kern w:val="0"/>
          <w:sz w:val="32"/>
          <w:szCs w:val="32"/>
        </w:rPr>
      </w:pPr>
      <w:r>
        <w:rPr>
          <w:rFonts w:eastAsia="方正仿宋_GBK"/>
          <w:sz w:val="32"/>
          <w:szCs w:val="32"/>
        </w:rPr>
        <w:t>（3）</w:t>
      </w:r>
      <w:r>
        <w:rPr>
          <w:rFonts w:eastAsia="仿宋"/>
          <w:color w:val="333333"/>
          <w:kern w:val="0"/>
          <w:sz w:val="32"/>
          <w:szCs w:val="32"/>
        </w:rPr>
        <w:t>对依法必须进行招标的项目的评标结果有异议的，应当在中标候选人（或定标候选人）公示期间提出。招标人应当自收到异议之日起3日内作出答复；作出答复前，应当暂停招标投标活动。</w:t>
      </w:r>
    </w:p>
    <w:p>
      <w:pPr>
        <w:spacing w:line="579" w:lineRule="exact"/>
        <w:ind w:firstLine="640" w:firstLineChars="200"/>
        <w:rPr>
          <w:rFonts w:eastAsia="仿宋"/>
          <w:color w:val="333333"/>
          <w:kern w:val="0"/>
          <w:sz w:val="32"/>
          <w:szCs w:val="32"/>
        </w:rPr>
      </w:pPr>
      <w:r>
        <w:rPr>
          <w:rFonts w:eastAsia="方正仿宋_GBK"/>
          <w:sz w:val="32"/>
          <w:szCs w:val="32"/>
        </w:rPr>
        <w:t>（4）对资格预审文件及招标文件、开标活动、中标候选人公示结果有异议的，投标人或其利害关系人应当先向招标人提出异议，异议答复期间不计算在上款规定的期限内。</w:t>
      </w:r>
    </w:p>
    <w:p>
      <w:pPr>
        <w:spacing w:line="579" w:lineRule="exact"/>
        <w:ind w:firstLine="640" w:firstLineChars="200"/>
        <w:rPr>
          <w:rFonts w:eastAsia="方正仿宋_GBK"/>
          <w:sz w:val="32"/>
          <w:szCs w:val="32"/>
        </w:rPr>
      </w:pPr>
      <w:r>
        <w:rPr>
          <w:rFonts w:eastAsia="楷体"/>
          <w:sz w:val="32"/>
          <w:szCs w:val="32"/>
        </w:rPr>
        <w:t>2．关于投诉：</w:t>
      </w:r>
      <w:r>
        <w:rPr>
          <w:rFonts w:eastAsia="仿宋"/>
          <w:color w:val="333333"/>
          <w:kern w:val="0"/>
          <w:sz w:val="32"/>
          <w:szCs w:val="32"/>
        </w:rPr>
        <w:t>投标人或者其他利害关系人认为招标投标活动不符合法律、行政法规规定的，可以自知道或者应当知道之日起10日内向有关行政监督部门投诉。招标人应积极配合招投标监管部门进行投诉处理</w:t>
      </w:r>
      <w:r>
        <w:rPr>
          <w:rFonts w:eastAsia="方正仿宋_GBK"/>
          <w:sz w:val="32"/>
          <w:szCs w:val="32"/>
        </w:rPr>
        <w:t>。投诉书应包含以下内容：</w:t>
      </w:r>
    </w:p>
    <w:p>
      <w:pPr>
        <w:spacing w:line="579" w:lineRule="exact"/>
        <w:ind w:firstLine="640" w:firstLineChars="200"/>
        <w:rPr>
          <w:rFonts w:eastAsia="方正仿宋_GBK"/>
          <w:sz w:val="32"/>
          <w:szCs w:val="32"/>
        </w:rPr>
      </w:pPr>
      <w:r>
        <w:rPr>
          <w:rFonts w:eastAsia="方正仿宋_GBK"/>
          <w:sz w:val="32"/>
          <w:szCs w:val="32"/>
        </w:rPr>
        <w:t>（1）投诉人的地址、名称及有效联系方式；</w:t>
      </w:r>
    </w:p>
    <w:p>
      <w:pPr>
        <w:spacing w:line="579" w:lineRule="exact"/>
        <w:ind w:firstLine="640" w:firstLineChars="200"/>
        <w:rPr>
          <w:rFonts w:eastAsia="方正仿宋_GBK"/>
          <w:sz w:val="32"/>
          <w:szCs w:val="32"/>
        </w:rPr>
      </w:pPr>
      <w:r>
        <w:rPr>
          <w:rFonts w:eastAsia="方正仿宋_GBK"/>
          <w:sz w:val="32"/>
          <w:szCs w:val="32"/>
        </w:rPr>
        <w:t>（2）被投诉人的地址、名称及有效联系方式；</w:t>
      </w:r>
    </w:p>
    <w:p>
      <w:pPr>
        <w:spacing w:line="579" w:lineRule="exact"/>
        <w:ind w:firstLine="640" w:firstLineChars="200"/>
        <w:rPr>
          <w:rFonts w:eastAsia="方正仿宋_GBK"/>
          <w:sz w:val="32"/>
          <w:szCs w:val="32"/>
        </w:rPr>
      </w:pPr>
      <w:r>
        <w:rPr>
          <w:rFonts w:eastAsia="方正仿宋_GBK"/>
          <w:sz w:val="32"/>
          <w:szCs w:val="32"/>
        </w:rPr>
        <w:t>（3）投诉事项的基本事实；</w:t>
      </w:r>
    </w:p>
    <w:p>
      <w:pPr>
        <w:spacing w:line="579" w:lineRule="exact"/>
        <w:ind w:firstLine="640" w:firstLineChars="200"/>
        <w:rPr>
          <w:rFonts w:eastAsia="方正仿宋_GBK"/>
          <w:sz w:val="32"/>
          <w:szCs w:val="32"/>
        </w:rPr>
      </w:pPr>
      <w:r>
        <w:rPr>
          <w:rFonts w:eastAsia="方正仿宋_GBK"/>
          <w:sz w:val="32"/>
          <w:szCs w:val="32"/>
        </w:rPr>
        <w:t>（4）相关请求及主张；</w:t>
      </w:r>
    </w:p>
    <w:p>
      <w:pPr>
        <w:spacing w:line="579" w:lineRule="exact"/>
        <w:ind w:firstLine="640" w:firstLineChars="200"/>
        <w:rPr>
          <w:rFonts w:eastAsia="方正仿宋_GBK"/>
          <w:sz w:val="32"/>
          <w:szCs w:val="32"/>
        </w:rPr>
      </w:pPr>
      <w:r>
        <w:rPr>
          <w:rFonts w:eastAsia="方正仿宋_GBK"/>
          <w:sz w:val="32"/>
          <w:szCs w:val="32"/>
        </w:rPr>
        <w:t>（5）有效线索和相关证明材料。</w:t>
      </w:r>
    </w:p>
    <w:p>
      <w:pPr>
        <w:spacing w:line="579" w:lineRule="exact"/>
        <w:ind w:firstLine="640" w:firstLineChars="200"/>
        <w:rPr>
          <w:rFonts w:eastAsia="方正仿宋_GBK"/>
          <w:sz w:val="32"/>
          <w:szCs w:val="32"/>
        </w:rPr>
      </w:pPr>
      <w:r>
        <w:rPr>
          <w:rFonts w:eastAsia="方正仿宋_GBK"/>
          <w:sz w:val="32"/>
          <w:szCs w:val="32"/>
        </w:rPr>
        <w:t>3．投诉不予受理的情形。有下列情形之一的，不予受理：</w:t>
      </w:r>
    </w:p>
    <w:p>
      <w:pPr>
        <w:spacing w:line="579" w:lineRule="exact"/>
        <w:ind w:firstLine="640" w:firstLineChars="200"/>
        <w:rPr>
          <w:rFonts w:eastAsia="方正仿宋_GBK"/>
          <w:sz w:val="32"/>
          <w:szCs w:val="32"/>
        </w:rPr>
      </w:pPr>
      <w:r>
        <w:rPr>
          <w:rFonts w:eastAsia="方正仿宋_GBK"/>
          <w:sz w:val="32"/>
          <w:szCs w:val="32"/>
        </w:rPr>
        <w:t>（1）投诉人不是所投诉招标投标活动的参与者，或者与投诉项目无任何利害关系；</w:t>
      </w:r>
    </w:p>
    <w:p>
      <w:pPr>
        <w:spacing w:line="579" w:lineRule="exact"/>
        <w:ind w:firstLine="640" w:firstLineChars="200"/>
        <w:rPr>
          <w:rFonts w:eastAsia="方正仿宋_GBK"/>
          <w:sz w:val="32"/>
          <w:szCs w:val="32"/>
        </w:rPr>
      </w:pPr>
      <w:r>
        <w:rPr>
          <w:rFonts w:eastAsia="方正仿宋_GBK"/>
          <w:sz w:val="32"/>
          <w:szCs w:val="32"/>
        </w:rPr>
        <w:t>（2）投诉事项不具体，且未提供有效线索，难以查证的；</w:t>
      </w:r>
    </w:p>
    <w:p>
      <w:pPr>
        <w:spacing w:line="579" w:lineRule="exact"/>
        <w:ind w:firstLine="640" w:firstLineChars="200"/>
        <w:rPr>
          <w:rFonts w:eastAsia="方正仿宋_GBK"/>
          <w:sz w:val="32"/>
          <w:szCs w:val="32"/>
        </w:rPr>
      </w:pPr>
      <w:r>
        <w:rPr>
          <w:rFonts w:eastAsia="方正仿宋_GBK"/>
          <w:sz w:val="32"/>
          <w:szCs w:val="32"/>
        </w:rPr>
        <w:t>（3）投诉书未署具投诉人真实姓名、签字和有效联系方式的；以法人名义投诉的，投诉书未经法定代表人签字并加盖公章的；</w:t>
      </w:r>
    </w:p>
    <w:p>
      <w:pPr>
        <w:spacing w:line="579" w:lineRule="exact"/>
        <w:ind w:firstLine="640" w:firstLineChars="200"/>
        <w:rPr>
          <w:rFonts w:eastAsia="方正仿宋_GBK"/>
          <w:sz w:val="32"/>
          <w:szCs w:val="32"/>
        </w:rPr>
      </w:pPr>
      <w:r>
        <w:rPr>
          <w:rFonts w:eastAsia="方正仿宋_GBK"/>
          <w:sz w:val="32"/>
          <w:szCs w:val="32"/>
        </w:rPr>
        <w:t>（4）超过投诉时效的；</w:t>
      </w:r>
    </w:p>
    <w:p>
      <w:pPr>
        <w:spacing w:line="579" w:lineRule="exact"/>
        <w:ind w:firstLine="640" w:firstLineChars="200"/>
        <w:rPr>
          <w:rFonts w:eastAsia="方正仿宋_GBK"/>
          <w:sz w:val="32"/>
          <w:szCs w:val="32"/>
        </w:rPr>
      </w:pPr>
      <w:r>
        <w:rPr>
          <w:rFonts w:eastAsia="方正仿宋_GBK"/>
          <w:sz w:val="32"/>
          <w:szCs w:val="32"/>
        </w:rPr>
        <w:t>（5）已经做出处理决定，并且投诉人没有提出新证据的；</w:t>
      </w:r>
    </w:p>
    <w:p>
      <w:pPr>
        <w:spacing w:line="579" w:lineRule="exact"/>
        <w:ind w:firstLine="640" w:firstLineChars="200"/>
        <w:rPr>
          <w:rFonts w:eastAsia="方正仿宋_GBK"/>
          <w:sz w:val="32"/>
          <w:szCs w:val="32"/>
        </w:rPr>
      </w:pPr>
      <w:r>
        <w:rPr>
          <w:rFonts w:eastAsia="方正仿宋_GBK"/>
          <w:sz w:val="32"/>
          <w:szCs w:val="32"/>
        </w:rPr>
        <w:t>（6）投诉事项应先提出异议没有提出异议的；</w:t>
      </w:r>
    </w:p>
    <w:p>
      <w:pPr>
        <w:spacing w:line="579" w:lineRule="exact"/>
        <w:ind w:firstLine="640" w:firstLineChars="200"/>
        <w:rPr>
          <w:rFonts w:eastAsia="方正仿宋_GBK"/>
          <w:sz w:val="32"/>
          <w:szCs w:val="32"/>
        </w:rPr>
      </w:pPr>
      <w:r>
        <w:rPr>
          <w:rFonts w:eastAsia="方正仿宋_GBK"/>
          <w:sz w:val="32"/>
          <w:szCs w:val="32"/>
        </w:rPr>
        <w:t>（7）已进入行政复议或行政诉讼程序的。</w:t>
      </w:r>
    </w:p>
    <w:p>
      <w:pPr>
        <w:spacing w:line="579" w:lineRule="exact"/>
        <w:ind w:firstLine="640" w:firstLineChars="200"/>
        <w:rPr>
          <w:rFonts w:eastAsia="方正仿宋_GBK"/>
          <w:sz w:val="32"/>
          <w:szCs w:val="32"/>
        </w:rPr>
      </w:pPr>
      <w:r>
        <w:rPr>
          <w:rFonts w:eastAsia="方正仿宋_GBK"/>
          <w:sz w:val="32"/>
          <w:szCs w:val="32"/>
        </w:rPr>
        <w:t>投诉人缺乏事实根据或者法律依据进行投诉的，或者有证据表明投诉人捏造事实、伪造材料的，或者投诉人以非法手段取得证明材料进行投诉的，行政监督部门应当依法予以驳回，并对恶意投诉按照有关规定追究投诉人责任。</w:t>
      </w:r>
    </w:p>
    <w:p>
      <w:pPr>
        <w:spacing w:line="579" w:lineRule="exact"/>
        <w:ind w:firstLine="640" w:firstLineChars="200"/>
        <w:rPr>
          <w:rFonts w:eastAsia="方正楷体_GBK"/>
          <w:bCs/>
          <w:sz w:val="32"/>
          <w:szCs w:val="32"/>
        </w:rPr>
      </w:pPr>
      <w:r>
        <w:rPr>
          <w:rFonts w:eastAsia="方正楷体_GBK"/>
          <w:bCs/>
          <w:sz w:val="32"/>
          <w:szCs w:val="32"/>
        </w:rPr>
        <w:t>（八）资料整理</w:t>
      </w:r>
    </w:p>
    <w:p>
      <w:pPr>
        <w:pStyle w:val="7"/>
        <w:spacing w:after="0" w:line="579" w:lineRule="exact"/>
        <w:ind w:firstLine="640" w:firstLineChars="200"/>
        <w:rPr>
          <w:rFonts w:eastAsia="方正仿宋_GBK"/>
        </w:rPr>
      </w:pPr>
      <w:r>
        <w:rPr>
          <w:rFonts w:eastAsia="方正仿宋_GBK"/>
          <w:sz w:val="32"/>
          <w:szCs w:val="32"/>
        </w:rPr>
        <w:t>招标人应当按照有关规定加强招标档案管理，及时收集、整理、归档招标投标交易和合同履行过程中产生的各种文件资料和信息数据，整理要求详见附件4，包括项目审批、核准或者备案文件、资格预审公告、资格预审文件、招标公告、招标文件、评标报告、中标通知书、中标人投标文件、异议投诉、合同等相关材料，并采取有效措施确保档案的完整和安全，不得篡改、损毁、伪造或者擅自销毁招标档案。及时下载保存在电子招标投标交易系统中的电子投标文件等档案。符合档案管理要求的电子档案与纸质档案具有同等效力。依法必须进行招标的项目的档案保存时间不得少于十五年。</w:t>
      </w:r>
    </w:p>
    <w:p>
      <w:pPr>
        <w:spacing w:line="579" w:lineRule="exact"/>
        <w:ind w:firstLine="640" w:firstLineChars="200"/>
        <w:rPr>
          <w:rFonts w:eastAsia="方正楷体_GBK"/>
          <w:bCs/>
          <w:sz w:val="32"/>
          <w:szCs w:val="32"/>
        </w:rPr>
      </w:pPr>
      <w:r>
        <w:rPr>
          <w:rFonts w:eastAsia="方正楷体_GBK"/>
          <w:bCs/>
          <w:sz w:val="32"/>
          <w:szCs w:val="32"/>
        </w:rPr>
        <w:t>（九）其他</w:t>
      </w:r>
    </w:p>
    <w:p>
      <w:pPr>
        <w:pStyle w:val="7"/>
        <w:spacing w:after="0" w:line="579" w:lineRule="exact"/>
        <w:ind w:firstLine="640" w:firstLineChars="200"/>
        <w:rPr>
          <w:rFonts w:eastAsia="方正仿宋_GBK"/>
        </w:rPr>
      </w:pPr>
      <w:r>
        <w:rPr>
          <w:rFonts w:eastAsia="方正仿宋_GBK"/>
          <w:sz w:val="32"/>
          <w:szCs w:val="32"/>
        </w:rPr>
        <w:t>1．依法必须招标的工程建设项目招标投标应当纳入公共资源交易平台进行招标，并接受项目属地招投标行政监督部门监督。</w:t>
      </w:r>
    </w:p>
    <w:p>
      <w:pPr>
        <w:pStyle w:val="7"/>
        <w:spacing w:after="0" w:line="579" w:lineRule="exact"/>
        <w:ind w:firstLine="640" w:firstLineChars="200"/>
        <w:rPr>
          <w:rFonts w:eastAsia="方正仿宋_GBK"/>
        </w:rPr>
      </w:pPr>
      <w:r>
        <w:rPr>
          <w:rFonts w:eastAsia="方正仿宋_GBK"/>
          <w:sz w:val="32"/>
          <w:szCs w:val="32"/>
        </w:rPr>
        <w:t>2．应按照法律规定、招标文件和合同中明确约定的方式和期限退还保证金。因不可抗力或者异议、投诉处理等特殊情况，导致未能在招标文件规定的投标有效期内确定中标人的，招标人应当及时书面通知所有投标人延长投标有效期。</w:t>
      </w:r>
    </w:p>
    <w:p>
      <w:pPr>
        <w:pStyle w:val="7"/>
        <w:spacing w:after="0" w:line="579" w:lineRule="exact"/>
        <w:ind w:firstLine="640" w:firstLineChars="200"/>
        <w:rPr>
          <w:rFonts w:eastAsia="方正仿宋_GBK"/>
        </w:rPr>
      </w:pPr>
      <w:r>
        <w:rPr>
          <w:rFonts w:eastAsia="方正仿宋_GBK"/>
          <w:sz w:val="32"/>
          <w:szCs w:val="32"/>
        </w:rPr>
        <w:t>3．禁止招标人与投标人串通投标。有下列情形之一的，属于招标人与投标人串通投标：</w:t>
      </w:r>
    </w:p>
    <w:p>
      <w:pPr>
        <w:pStyle w:val="7"/>
        <w:spacing w:after="0" w:line="579" w:lineRule="exact"/>
        <w:ind w:firstLine="640" w:firstLineChars="200"/>
        <w:rPr>
          <w:rFonts w:eastAsia="方正仿宋_GBK"/>
        </w:rPr>
      </w:pPr>
      <w:r>
        <w:rPr>
          <w:rFonts w:eastAsia="方正仿宋_GBK"/>
          <w:sz w:val="32"/>
          <w:szCs w:val="32"/>
        </w:rPr>
        <w:t>（1）招标人在开标前开启投标文件并将有关信息泄露给其他投标人；</w:t>
      </w:r>
    </w:p>
    <w:p>
      <w:pPr>
        <w:pStyle w:val="7"/>
        <w:spacing w:after="0" w:line="579" w:lineRule="exact"/>
        <w:ind w:firstLine="640" w:firstLineChars="200"/>
        <w:rPr>
          <w:rFonts w:eastAsia="方正仿宋_GBK"/>
        </w:rPr>
      </w:pPr>
      <w:r>
        <w:rPr>
          <w:rFonts w:eastAsia="方正仿宋_GBK"/>
          <w:sz w:val="32"/>
          <w:szCs w:val="32"/>
        </w:rPr>
        <w:t>（2）招标人直接或者间接向投标人泄露标底、评标委员会成员等信息；</w:t>
      </w:r>
      <w:r>
        <w:rPr>
          <w:rFonts w:eastAsia="方正仿宋_GBK"/>
          <w:sz w:val="32"/>
          <w:szCs w:val="32"/>
        </w:rPr>
        <w:br w:type="textWrapping"/>
      </w:r>
      <w:r>
        <w:rPr>
          <w:rFonts w:eastAsia="方正仿宋_GBK"/>
          <w:sz w:val="32"/>
          <w:szCs w:val="32"/>
        </w:rPr>
        <w:t xml:space="preserve">    （3）招标人明示或者暗示投标人压低或者抬高投标报价；</w:t>
      </w:r>
      <w:r>
        <w:rPr>
          <w:rFonts w:eastAsia="方正仿宋_GBK"/>
          <w:sz w:val="32"/>
          <w:szCs w:val="32"/>
        </w:rPr>
        <w:br w:type="textWrapping"/>
      </w:r>
      <w:r>
        <w:rPr>
          <w:rFonts w:eastAsia="方正仿宋_GBK"/>
          <w:sz w:val="32"/>
          <w:szCs w:val="32"/>
        </w:rPr>
        <w:t xml:space="preserve">    （4）招标人授意投标人撤换、修改投标文件；</w:t>
      </w:r>
      <w:r>
        <w:rPr>
          <w:rFonts w:eastAsia="方正仿宋_GBK"/>
          <w:sz w:val="32"/>
          <w:szCs w:val="32"/>
        </w:rPr>
        <w:br w:type="textWrapping"/>
      </w:r>
      <w:r>
        <w:rPr>
          <w:rFonts w:eastAsia="方正仿宋_GBK"/>
          <w:sz w:val="32"/>
          <w:szCs w:val="32"/>
        </w:rPr>
        <w:t xml:space="preserve">    （5）招标人明示或者暗示投标人为特定投标人中标提供方便；</w:t>
      </w:r>
      <w:r>
        <w:rPr>
          <w:rFonts w:eastAsia="方正仿宋_GBK"/>
          <w:sz w:val="32"/>
          <w:szCs w:val="32"/>
        </w:rPr>
        <w:br w:type="textWrapping"/>
      </w:r>
      <w:r>
        <w:rPr>
          <w:rFonts w:eastAsia="方正仿宋_GBK"/>
          <w:sz w:val="32"/>
          <w:szCs w:val="32"/>
        </w:rPr>
        <w:t xml:space="preserve">    （6）招标人与投标人为谋求特定投标人中标而采取的其他串通行为。</w:t>
      </w:r>
    </w:p>
    <w:p>
      <w:pPr>
        <w:spacing w:line="579" w:lineRule="exact"/>
        <w:rPr>
          <w:rFonts w:eastAsia="方正仿宋_GBK"/>
          <w:sz w:val="32"/>
          <w:szCs w:val="32"/>
        </w:rPr>
      </w:pPr>
    </w:p>
    <w:p>
      <w:pPr>
        <w:spacing w:line="579" w:lineRule="exact"/>
        <w:ind w:firstLine="640" w:firstLineChars="200"/>
        <w:rPr>
          <w:rFonts w:eastAsia="方正仿宋_GBK"/>
          <w:sz w:val="32"/>
          <w:szCs w:val="32"/>
        </w:rPr>
      </w:pPr>
      <w:r>
        <w:rPr>
          <w:rFonts w:eastAsia="方正仿宋_GBK"/>
          <w:sz w:val="32"/>
          <w:szCs w:val="32"/>
        </w:rPr>
        <w:t>附件：1．现行有效的部分规范性文件</w:t>
      </w:r>
    </w:p>
    <w:p>
      <w:pPr>
        <w:spacing w:line="579" w:lineRule="exact"/>
        <w:ind w:firstLine="1600" w:firstLineChars="500"/>
        <w:rPr>
          <w:rFonts w:eastAsia="方正仿宋_GBK"/>
          <w:sz w:val="32"/>
          <w:szCs w:val="32"/>
        </w:rPr>
      </w:pPr>
      <w:r>
        <w:rPr>
          <w:rFonts w:eastAsia="方正仿宋_GBK"/>
          <w:sz w:val="32"/>
          <w:szCs w:val="32"/>
        </w:rPr>
        <w:t>2．现行有效的标准招标文件</w:t>
      </w:r>
    </w:p>
    <w:p>
      <w:pPr>
        <w:spacing w:line="579" w:lineRule="exact"/>
        <w:ind w:firstLine="1600" w:firstLineChars="500"/>
        <w:rPr>
          <w:rFonts w:eastAsia="方正仿宋_GBK"/>
          <w:sz w:val="32"/>
          <w:szCs w:val="32"/>
        </w:rPr>
      </w:pPr>
      <w:r>
        <w:rPr>
          <w:rFonts w:eastAsia="方正仿宋_GBK"/>
          <w:sz w:val="32"/>
          <w:szCs w:val="32"/>
        </w:rPr>
        <w:t>3．招标投标书面情况报告（格式）</w:t>
      </w:r>
    </w:p>
    <w:p>
      <w:pPr>
        <w:spacing w:line="579" w:lineRule="exact"/>
        <w:ind w:firstLine="1600" w:firstLineChars="500"/>
        <w:rPr>
          <w:rFonts w:eastAsia="方正仿宋_GBK"/>
          <w:sz w:val="32"/>
          <w:szCs w:val="32"/>
        </w:rPr>
      </w:pPr>
      <w:r>
        <w:rPr>
          <w:rFonts w:eastAsia="方正仿宋_GBK"/>
          <w:sz w:val="32"/>
          <w:szCs w:val="32"/>
        </w:rPr>
        <w:t>4．招投标资料整理要求</w:t>
      </w: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spacing w:line="578" w:lineRule="exact"/>
        <w:rPr>
          <w:rFonts w:eastAsia="黑体"/>
          <w:sz w:val="32"/>
          <w:szCs w:val="32"/>
        </w:rPr>
      </w:pPr>
      <w:r>
        <w:rPr>
          <w:rFonts w:eastAsia="黑体"/>
          <w:sz w:val="32"/>
          <w:szCs w:val="32"/>
        </w:rPr>
        <w:t>附件1</w:t>
      </w:r>
    </w:p>
    <w:p>
      <w:pPr>
        <w:spacing w:line="579" w:lineRule="exact"/>
        <w:jc w:val="center"/>
        <w:rPr>
          <w:rFonts w:eastAsia="黑体"/>
          <w:bCs/>
          <w:sz w:val="36"/>
          <w:szCs w:val="32"/>
        </w:rPr>
      </w:pPr>
      <w:r>
        <w:rPr>
          <w:rFonts w:eastAsia="黑体"/>
          <w:bCs/>
          <w:sz w:val="36"/>
          <w:szCs w:val="32"/>
        </w:rPr>
        <w:t>现行有效的部分规范性文件</w:t>
      </w:r>
    </w:p>
    <w:p>
      <w:pPr>
        <w:spacing w:line="579" w:lineRule="exact"/>
        <w:ind w:firstLine="640" w:firstLineChars="200"/>
        <w:rPr>
          <w:rFonts w:eastAsia="黑体"/>
          <w:bCs/>
          <w:sz w:val="32"/>
          <w:szCs w:val="32"/>
        </w:rPr>
      </w:pPr>
      <w:r>
        <w:rPr>
          <w:rFonts w:eastAsia="黑体"/>
          <w:bCs/>
          <w:sz w:val="32"/>
          <w:szCs w:val="32"/>
        </w:rPr>
        <w:t>一、法律法规</w:t>
      </w:r>
    </w:p>
    <w:p>
      <w:pPr>
        <w:spacing w:line="579" w:lineRule="exact"/>
        <w:ind w:firstLine="640" w:firstLineChars="200"/>
        <w:rPr>
          <w:rFonts w:eastAsia="方正仿宋_GBK"/>
          <w:bCs/>
          <w:sz w:val="32"/>
          <w:szCs w:val="32"/>
        </w:rPr>
      </w:pPr>
      <w:r>
        <w:rPr>
          <w:rFonts w:eastAsia="方正仿宋_GBK"/>
          <w:bCs/>
          <w:sz w:val="32"/>
          <w:szCs w:val="32"/>
        </w:rPr>
        <w:t>中华人民共和国招标投标法</w:t>
      </w:r>
    </w:p>
    <w:p>
      <w:pPr>
        <w:spacing w:line="579" w:lineRule="exact"/>
        <w:ind w:firstLine="640" w:firstLineChars="200"/>
        <w:rPr>
          <w:rFonts w:eastAsia="方正仿宋_GBK"/>
          <w:bCs/>
          <w:sz w:val="32"/>
          <w:szCs w:val="32"/>
        </w:rPr>
      </w:pPr>
      <w:r>
        <w:rPr>
          <w:rFonts w:eastAsia="方正仿宋_GBK"/>
          <w:bCs/>
          <w:sz w:val="32"/>
          <w:szCs w:val="32"/>
        </w:rPr>
        <w:t>中华人民共和国招标投标法实施条例；</w:t>
      </w:r>
    </w:p>
    <w:p>
      <w:pPr>
        <w:spacing w:line="579" w:lineRule="exact"/>
        <w:ind w:firstLine="640" w:firstLineChars="200"/>
        <w:rPr>
          <w:rFonts w:eastAsia="方正仿宋_GBK"/>
          <w:bCs/>
          <w:sz w:val="32"/>
          <w:szCs w:val="32"/>
        </w:rPr>
      </w:pPr>
      <w:r>
        <w:rPr>
          <w:rFonts w:eastAsia="方正仿宋_GBK"/>
          <w:bCs/>
          <w:sz w:val="32"/>
          <w:szCs w:val="32"/>
        </w:rPr>
        <w:t>优化营商环境条例</w:t>
      </w:r>
    </w:p>
    <w:p>
      <w:pPr>
        <w:spacing w:line="579" w:lineRule="exact"/>
        <w:ind w:firstLine="640" w:firstLineChars="200"/>
        <w:rPr>
          <w:rFonts w:eastAsia="方正仿宋_GBK"/>
          <w:bCs/>
          <w:sz w:val="32"/>
          <w:szCs w:val="32"/>
        </w:rPr>
      </w:pPr>
      <w:r>
        <w:rPr>
          <w:rFonts w:eastAsia="方正仿宋_GBK"/>
          <w:bCs/>
          <w:sz w:val="32"/>
          <w:szCs w:val="32"/>
        </w:rPr>
        <w:t>政府投资条例</w:t>
      </w:r>
    </w:p>
    <w:p>
      <w:pPr>
        <w:spacing w:line="579" w:lineRule="exact"/>
        <w:ind w:firstLine="640" w:firstLineChars="200"/>
        <w:rPr>
          <w:rFonts w:eastAsia="方正仿宋_GBK"/>
          <w:sz w:val="32"/>
          <w:szCs w:val="32"/>
        </w:rPr>
      </w:pPr>
      <w:r>
        <w:rPr>
          <w:rFonts w:eastAsia="方正仿宋_GBK"/>
          <w:bCs/>
          <w:sz w:val="32"/>
          <w:szCs w:val="32"/>
        </w:rPr>
        <w:t>江苏省招标投标条例（2023年修订版）</w:t>
      </w:r>
    </w:p>
    <w:p>
      <w:pPr>
        <w:spacing w:line="579" w:lineRule="exact"/>
        <w:ind w:firstLine="640" w:firstLineChars="200"/>
        <w:rPr>
          <w:rFonts w:eastAsia="黑体"/>
          <w:bCs/>
          <w:sz w:val="32"/>
          <w:szCs w:val="32"/>
        </w:rPr>
      </w:pPr>
      <w:r>
        <w:rPr>
          <w:rFonts w:eastAsia="黑体"/>
          <w:bCs/>
          <w:sz w:val="32"/>
          <w:szCs w:val="32"/>
        </w:rPr>
        <w:t>二、规章</w:t>
      </w:r>
    </w:p>
    <w:p>
      <w:pPr>
        <w:spacing w:line="579" w:lineRule="exact"/>
        <w:ind w:firstLine="640" w:firstLineChars="200"/>
        <w:rPr>
          <w:rFonts w:eastAsia="方正仿宋_GBK"/>
          <w:bCs/>
          <w:sz w:val="32"/>
          <w:szCs w:val="32"/>
        </w:rPr>
      </w:pPr>
      <w:r>
        <w:rPr>
          <w:rFonts w:eastAsia="方正仿宋_GBK"/>
          <w:bCs/>
          <w:sz w:val="32"/>
          <w:szCs w:val="32"/>
        </w:rPr>
        <w:t>1．必须招标的工程项目规定（发改委令第16号）</w:t>
      </w:r>
    </w:p>
    <w:p>
      <w:pPr>
        <w:spacing w:line="579" w:lineRule="exact"/>
        <w:ind w:firstLine="640" w:firstLineChars="200"/>
        <w:rPr>
          <w:rFonts w:eastAsia="方正仿宋_GBK"/>
          <w:bCs/>
          <w:sz w:val="32"/>
          <w:szCs w:val="32"/>
        </w:rPr>
      </w:pPr>
      <w:r>
        <w:rPr>
          <w:rFonts w:eastAsia="方正仿宋_GBK"/>
          <w:bCs/>
          <w:sz w:val="32"/>
          <w:szCs w:val="32"/>
        </w:rPr>
        <w:t>2．工程建设项目勘察设计招标投标办法（八部委令第2号2013年第23号修正）；</w:t>
      </w:r>
    </w:p>
    <w:p>
      <w:pPr>
        <w:spacing w:line="579" w:lineRule="exact"/>
        <w:ind w:firstLine="640" w:firstLineChars="200"/>
        <w:rPr>
          <w:rFonts w:eastAsia="方正仿宋_GBK"/>
          <w:bCs/>
          <w:sz w:val="32"/>
          <w:szCs w:val="32"/>
        </w:rPr>
      </w:pPr>
      <w:r>
        <w:rPr>
          <w:rFonts w:eastAsia="方正仿宋_GBK"/>
          <w:bCs/>
          <w:sz w:val="32"/>
          <w:szCs w:val="32"/>
        </w:rPr>
        <w:t>3．工程建设项目施工招标投标办法（七部委令第30号2013年第23号修正）；</w:t>
      </w:r>
    </w:p>
    <w:p>
      <w:pPr>
        <w:spacing w:line="579" w:lineRule="exact"/>
        <w:ind w:firstLine="640" w:firstLineChars="200"/>
        <w:rPr>
          <w:rFonts w:eastAsia="方正仿宋_GBK"/>
          <w:bCs/>
          <w:sz w:val="32"/>
          <w:szCs w:val="32"/>
        </w:rPr>
      </w:pPr>
      <w:r>
        <w:rPr>
          <w:rFonts w:eastAsia="方正仿宋_GBK"/>
          <w:bCs/>
          <w:sz w:val="32"/>
          <w:szCs w:val="32"/>
        </w:rPr>
        <w:t>4．工程建设项目货物招标投标办法（七部委令第27号2013年第23号修正）</w:t>
      </w:r>
    </w:p>
    <w:p>
      <w:pPr>
        <w:spacing w:line="579" w:lineRule="exact"/>
        <w:ind w:firstLine="640" w:firstLineChars="200"/>
        <w:rPr>
          <w:rFonts w:eastAsia="方正仿宋_GBK"/>
          <w:bCs/>
          <w:sz w:val="32"/>
          <w:szCs w:val="32"/>
        </w:rPr>
      </w:pPr>
      <w:r>
        <w:rPr>
          <w:rFonts w:eastAsia="方正仿宋_GBK"/>
          <w:bCs/>
          <w:sz w:val="32"/>
          <w:szCs w:val="32"/>
        </w:rPr>
        <w:t>5．评标委员会和评标办法暂行规定（七部委令第12号2013年第23号修正）</w:t>
      </w:r>
    </w:p>
    <w:p>
      <w:pPr>
        <w:spacing w:line="579" w:lineRule="exact"/>
        <w:ind w:firstLine="640" w:firstLineChars="200"/>
        <w:rPr>
          <w:rFonts w:eastAsia="方正仿宋_GBK"/>
          <w:bCs/>
          <w:sz w:val="32"/>
          <w:szCs w:val="32"/>
        </w:rPr>
      </w:pPr>
      <w:r>
        <w:rPr>
          <w:rFonts w:eastAsia="方正仿宋_GBK"/>
          <w:bCs/>
          <w:sz w:val="32"/>
          <w:szCs w:val="32"/>
        </w:rPr>
        <w:t>6．电子招标投标办法（八部委令第20号）</w:t>
      </w:r>
    </w:p>
    <w:p>
      <w:pPr>
        <w:spacing w:line="579" w:lineRule="exact"/>
        <w:ind w:firstLine="640" w:firstLineChars="200"/>
        <w:rPr>
          <w:rFonts w:eastAsia="方正仿宋_GBK"/>
          <w:bCs/>
          <w:sz w:val="32"/>
          <w:szCs w:val="32"/>
        </w:rPr>
      </w:pPr>
      <w:r>
        <w:rPr>
          <w:rFonts w:eastAsia="方正仿宋_GBK"/>
          <w:bCs/>
          <w:sz w:val="32"/>
          <w:szCs w:val="32"/>
        </w:rPr>
        <w:t>7</w:t>
      </w:r>
      <w:r>
        <w:rPr>
          <w:rFonts w:hint="eastAsia" w:eastAsia="方正仿宋_GBK"/>
          <w:bCs/>
          <w:sz w:val="32"/>
          <w:szCs w:val="32"/>
        </w:rPr>
        <w:t>．</w:t>
      </w:r>
      <w:r>
        <w:rPr>
          <w:rFonts w:eastAsia="方正仿宋_GBK"/>
          <w:bCs/>
          <w:sz w:val="32"/>
          <w:szCs w:val="32"/>
        </w:rPr>
        <w:t>房屋建筑和市政基础设施工程施工招标投标管理办法（建设部令第89号）</w:t>
      </w:r>
    </w:p>
    <w:p>
      <w:pPr>
        <w:pStyle w:val="2"/>
        <w:spacing w:line="579"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8．建筑工程设计招标投标管理办法（建设部令第33号）</w:t>
      </w:r>
    </w:p>
    <w:p>
      <w:pPr>
        <w:pStyle w:val="2"/>
        <w:spacing w:line="579"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9．江苏省国有资金投资工程建设项目招标投标管理办法（江苏省人民政府令第120号）</w:t>
      </w:r>
    </w:p>
    <w:p>
      <w:pPr>
        <w:numPr>
          <w:ilvl w:val="0"/>
          <w:numId w:val="3"/>
        </w:numPr>
        <w:spacing w:line="579" w:lineRule="exact"/>
        <w:ind w:firstLine="640" w:firstLineChars="200"/>
        <w:rPr>
          <w:rFonts w:eastAsia="黑体"/>
          <w:bCs/>
          <w:sz w:val="32"/>
          <w:szCs w:val="32"/>
        </w:rPr>
      </w:pPr>
      <w:r>
        <w:rPr>
          <w:rFonts w:eastAsia="黑体"/>
          <w:bCs/>
          <w:sz w:val="32"/>
          <w:szCs w:val="32"/>
        </w:rPr>
        <w:t>有关规定</w:t>
      </w:r>
    </w:p>
    <w:p>
      <w:pPr>
        <w:spacing w:line="579" w:lineRule="exact"/>
        <w:ind w:firstLine="640" w:firstLineChars="200"/>
        <w:rPr>
          <w:rFonts w:eastAsia="方正仿宋_GBK"/>
          <w:bCs/>
          <w:sz w:val="32"/>
          <w:szCs w:val="32"/>
        </w:rPr>
      </w:pPr>
      <w:r>
        <w:rPr>
          <w:rFonts w:eastAsia="方正仿宋_GBK"/>
          <w:bCs/>
          <w:sz w:val="32"/>
          <w:szCs w:val="32"/>
        </w:rPr>
        <w:t>1．国务院办公厅印发国务院有关部门实施招标投标活动行政监督的职责分工意见的通知（国办发〔2000〕34号）</w:t>
      </w:r>
    </w:p>
    <w:p>
      <w:pPr>
        <w:spacing w:line="579" w:lineRule="exact"/>
        <w:ind w:firstLine="640" w:firstLineChars="200"/>
        <w:rPr>
          <w:rFonts w:eastAsia="方正仿宋_GBK"/>
          <w:bCs/>
          <w:sz w:val="32"/>
          <w:szCs w:val="32"/>
        </w:rPr>
      </w:pPr>
      <w:r>
        <w:rPr>
          <w:rFonts w:eastAsia="方正仿宋_GBK"/>
          <w:bCs/>
          <w:sz w:val="32"/>
          <w:szCs w:val="32"/>
        </w:rPr>
        <w:t>2．中共中央 国务院关于加快建设全国统一大市场的意见（2022年3月25日）</w:t>
      </w:r>
    </w:p>
    <w:p>
      <w:pPr>
        <w:spacing w:line="579" w:lineRule="exact"/>
        <w:ind w:firstLine="640" w:firstLineChars="200"/>
        <w:rPr>
          <w:rFonts w:eastAsia="方正仿宋_GBK"/>
          <w:bCs/>
          <w:sz w:val="32"/>
          <w:szCs w:val="32"/>
        </w:rPr>
      </w:pPr>
      <w:r>
        <w:rPr>
          <w:rFonts w:eastAsia="方正仿宋_GBK"/>
          <w:bCs/>
          <w:sz w:val="32"/>
          <w:szCs w:val="32"/>
        </w:rPr>
        <w:t>3．国务院办公厅关于进一步优化营商环境降低市场主体制度性交易成本的意见（国办发〔2022〕30号）</w:t>
      </w:r>
    </w:p>
    <w:p>
      <w:pPr>
        <w:spacing w:line="579" w:lineRule="exact"/>
        <w:ind w:firstLine="640" w:firstLineChars="200"/>
        <w:rPr>
          <w:rFonts w:eastAsia="方正仿宋_GBK"/>
          <w:bCs/>
          <w:sz w:val="32"/>
          <w:szCs w:val="32"/>
        </w:rPr>
      </w:pPr>
      <w:r>
        <w:rPr>
          <w:rFonts w:eastAsia="方正仿宋_GBK"/>
          <w:bCs/>
          <w:sz w:val="32"/>
          <w:szCs w:val="32"/>
        </w:rPr>
        <w:t>4．国家发展改革委等部门关于严格执行招标投标法规制度进一步规范招标投标主体行为的若干意见（发改法规规〔2022〕1117号）</w:t>
      </w:r>
    </w:p>
    <w:p>
      <w:pPr>
        <w:spacing w:line="579" w:lineRule="exact"/>
        <w:ind w:firstLine="640" w:firstLineChars="200"/>
        <w:rPr>
          <w:rFonts w:eastAsia="方正仿宋_GBK"/>
          <w:bCs/>
          <w:sz w:val="32"/>
          <w:szCs w:val="32"/>
        </w:rPr>
      </w:pPr>
      <w:r>
        <w:rPr>
          <w:rFonts w:eastAsia="方正仿宋_GBK"/>
          <w:bCs/>
          <w:sz w:val="32"/>
          <w:szCs w:val="32"/>
        </w:rPr>
        <w:t>5．国家发展改革委等部门关于完善招标投标交易担保制度进一步降低招标投标交易成本的通知（发改法规〔2023〕27号）</w:t>
      </w:r>
    </w:p>
    <w:p>
      <w:pPr>
        <w:spacing w:line="579" w:lineRule="exact"/>
        <w:ind w:firstLine="640" w:firstLineChars="200"/>
        <w:rPr>
          <w:rFonts w:eastAsia="方正仿宋_GBK"/>
          <w:bCs/>
          <w:sz w:val="32"/>
          <w:szCs w:val="32"/>
        </w:rPr>
      </w:pPr>
      <w:r>
        <w:rPr>
          <w:rFonts w:eastAsia="方正仿宋_GBK"/>
          <w:bCs/>
          <w:sz w:val="32"/>
          <w:szCs w:val="32"/>
        </w:rPr>
        <w:t>6．国家发展改革委办公厅关于进一步做好《必须招标的工程项目规定》和《必须招标的基础设施和公用事业项目范围规定》实施工作的通知(发改办法规〔2020〕770号)</w:t>
      </w:r>
    </w:p>
    <w:p>
      <w:pPr>
        <w:spacing w:line="579" w:lineRule="exact"/>
        <w:ind w:firstLine="640" w:firstLineChars="200"/>
        <w:rPr>
          <w:rFonts w:eastAsia="方正仿宋_GBK"/>
          <w:bCs/>
          <w:sz w:val="32"/>
          <w:szCs w:val="32"/>
        </w:rPr>
      </w:pPr>
      <w:r>
        <w:rPr>
          <w:rFonts w:eastAsia="方正仿宋_GBK"/>
          <w:bCs/>
          <w:sz w:val="32"/>
          <w:szCs w:val="32"/>
        </w:rPr>
        <w:t>7．住房和城乡建设部 国家发展改革委关于印发房屋建筑和市政基础设施项目工程总承包管理办法的通知(建市规〔2019〕12号)</w:t>
      </w:r>
    </w:p>
    <w:p>
      <w:pPr>
        <w:spacing w:line="579" w:lineRule="exact"/>
        <w:ind w:firstLine="640" w:firstLineChars="200"/>
        <w:rPr>
          <w:rFonts w:eastAsia="方正仿宋_GBK"/>
          <w:bCs/>
          <w:sz w:val="32"/>
          <w:szCs w:val="32"/>
        </w:rPr>
      </w:pPr>
      <w:r>
        <w:rPr>
          <w:rFonts w:eastAsia="方正仿宋_GBK"/>
          <w:bCs/>
          <w:sz w:val="32"/>
          <w:szCs w:val="32"/>
        </w:rPr>
        <w:t>8．住房和城乡建设部关于印发建筑工程施工发包与承包违法行为认定查处管理办法的通知（建市规〔2019〕1号）</w:t>
      </w:r>
    </w:p>
    <w:p>
      <w:pPr>
        <w:spacing w:line="579" w:lineRule="exact"/>
        <w:ind w:firstLine="640" w:firstLineChars="200"/>
        <w:rPr>
          <w:rFonts w:eastAsia="方正仿宋_GBK"/>
          <w:bCs/>
          <w:sz w:val="32"/>
          <w:szCs w:val="32"/>
        </w:rPr>
      </w:pPr>
      <w:r>
        <w:rPr>
          <w:rFonts w:eastAsia="方正仿宋_GBK"/>
          <w:bCs/>
          <w:sz w:val="32"/>
          <w:szCs w:val="32"/>
        </w:rPr>
        <w:t>9．省政府关于促进全省建筑业高质量发展的意见（苏政规〔2023〕14号）</w:t>
      </w:r>
    </w:p>
    <w:p>
      <w:pPr>
        <w:spacing w:line="579" w:lineRule="exact"/>
        <w:ind w:firstLine="640" w:firstLineChars="200"/>
        <w:rPr>
          <w:rFonts w:eastAsia="方正仿宋_GBK"/>
          <w:bCs/>
          <w:sz w:val="32"/>
          <w:szCs w:val="32"/>
        </w:rPr>
      </w:pPr>
      <w:r>
        <w:rPr>
          <w:rFonts w:eastAsia="方正仿宋_GBK"/>
          <w:bCs/>
          <w:sz w:val="32"/>
          <w:szCs w:val="32"/>
        </w:rPr>
        <w:t>10．省政府办公厅关于印发江苏省综合评标（评审）专家库和专家管理暂行办法的通知（苏政办发〔2017〕38号）</w:t>
      </w:r>
    </w:p>
    <w:p>
      <w:pPr>
        <w:spacing w:line="579" w:lineRule="exact"/>
        <w:ind w:firstLine="640" w:firstLineChars="200"/>
        <w:rPr>
          <w:rFonts w:eastAsia="方正仿宋_GBK"/>
          <w:bCs/>
          <w:sz w:val="32"/>
          <w:szCs w:val="32"/>
        </w:rPr>
      </w:pPr>
      <w:r>
        <w:rPr>
          <w:rFonts w:eastAsia="方正仿宋_GBK"/>
          <w:bCs/>
          <w:sz w:val="32"/>
          <w:szCs w:val="32"/>
        </w:rPr>
        <w:t>11．省政务办、省发改委等10部门关于印发《江苏省综合评标专家库和专家管理细则》的通知（苏政务办发〔2023〕40号）</w:t>
      </w:r>
    </w:p>
    <w:p>
      <w:pPr>
        <w:spacing w:line="579" w:lineRule="exact"/>
        <w:ind w:firstLine="640" w:firstLineChars="200"/>
        <w:rPr>
          <w:rFonts w:eastAsia="方正仿宋_GBK"/>
          <w:bCs/>
          <w:sz w:val="32"/>
          <w:szCs w:val="32"/>
        </w:rPr>
      </w:pPr>
      <w:r>
        <w:rPr>
          <w:rFonts w:eastAsia="方正仿宋_GBK"/>
          <w:bCs/>
          <w:sz w:val="32"/>
          <w:szCs w:val="32"/>
        </w:rPr>
        <w:t>12．省信用办等12部门关于在公共资源交易领域的招投标活动中建立对失信被执行人联合惩戒机制的实施意见（苏信用办〔2018〕23号）</w:t>
      </w:r>
    </w:p>
    <w:p>
      <w:pPr>
        <w:spacing w:line="579" w:lineRule="exact"/>
        <w:ind w:firstLine="640" w:firstLineChars="200"/>
        <w:rPr>
          <w:rFonts w:eastAsia="方正仿宋_GBK"/>
          <w:bCs/>
          <w:sz w:val="32"/>
          <w:szCs w:val="32"/>
        </w:rPr>
      </w:pPr>
      <w:r>
        <w:rPr>
          <w:rFonts w:eastAsia="方正仿宋_GBK"/>
          <w:bCs/>
          <w:sz w:val="32"/>
          <w:szCs w:val="32"/>
        </w:rPr>
        <w:t>13．省发改委等11部门关于建立健全全省招标投标领域优化营商环境长效机制的通知（苏发改法规发〔2021〕403号）</w:t>
      </w:r>
    </w:p>
    <w:p>
      <w:pPr>
        <w:spacing w:line="579" w:lineRule="exact"/>
        <w:ind w:firstLine="640" w:firstLineChars="200"/>
        <w:rPr>
          <w:rFonts w:eastAsia="方正仿宋_GBK"/>
          <w:bCs/>
          <w:sz w:val="32"/>
          <w:szCs w:val="32"/>
        </w:rPr>
      </w:pPr>
      <w:r>
        <w:rPr>
          <w:rFonts w:eastAsia="方正仿宋_GBK"/>
          <w:bCs/>
          <w:sz w:val="32"/>
          <w:szCs w:val="32"/>
        </w:rPr>
        <w:t>14．省发改委等11部门《关于进一步加强和规范工程建设项目招标投标管理的通知》（苏发改法规发〔2022〕1017号）</w:t>
      </w:r>
    </w:p>
    <w:p>
      <w:pPr>
        <w:spacing w:line="579" w:lineRule="exact"/>
        <w:ind w:firstLine="640" w:firstLineChars="200"/>
        <w:rPr>
          <w:rFonts w:eastAsia="方正仿宋_GBK"/>
          <w:bCs/>
          <w:sz w:val="32"/>
          <w:szCs w:val="32"/>
        </w:rPr>
      </w:pPr>
      <w:r>
        <w:rPr>
          <w:rFonts w:eastAsia="方正仿宋_GBK"/>
          <w:bCs/>
          <w:sz w:val="32"/>
          <w:szCs w:val="32"/>
        </w:rPr>
        <w:t>15</w:t>
      </w:r>
      <w:bookmarkStart w:id="1" w:name="_Toc85884210"/>
      <w:bookmarkStart w:id="2" w:name="_Toc91599209"/>
      <w:bookmarkStart w:id="3" w:name="_Toc91660422"/>
      <w:r>
        <w:rPr>
          <w:rFonts w:eastAsia="方正仿宋_GBK"/>
          <w:bCs/>
          <w:sz w:val="32"/>
          <w:szCs w:val="32"/>
        </w:rPr>
        <w:t>．省住房城乡建设厅、省发展改革委等部门关于印发《关于推进房屋建筑和市政基础设施工程实行担保制度的指导意见》的通知</w:t>
      </w:r>
      <w:bookmarkEnd w:id="1"/>
      <w:bookmarkEnd w:id="2"/>
      <w:bookmarkEnd w:id="3"/>
      <w:bookmarkStart w:id="4" w:name="_Toc85884211"/>
      <w:bookmarkStart w:id="5" w:name="_Toc91660423"/>
      <w:bookmarkStart w:id="6" w:name="_Toc91599210"/>
      <w:r>
        <w:rPr>
          <w:rFonts w:eastAsia="方正仿宋_GBK"/>
          <w:bCs/>
          <w:sz w:val="32"/>
          <w:szCs w:val="32"/>
        </w:rPr>
        <w:t>（苏建规字〔2020〕4号</w:t>
      </w:r>
      <w:bookmarkEnd w:id="4"/>
      <w:bookmarkEnd w:id="5"/>
      <w:bookmarkEnd w:id="6"/>
      <w:r>
        <w:rPr>
          <w:rFonts w:eastAsia="方正仿宋_GBK"/>
          <w:bCs/>
          <w:sz w:val="32"/>
          <w:szCs w:val="32"/>
        </w:rPr>
        <w:t>）</w:t>
      </w:r>
    </w:p>
    <w:p>
      <w:pPr>
        <w:spacing w:line="579" w:lineRule="exact"/>
        <w:ind w:firstLine="640" w:firstLineChars="200"/>
        <w:rPr>
          <w:rFonts w:eastAsia="方正仿宋_GBK"/>
          <w:bCs/>
          <w:sz w:val="32"/>
          <w:szCs w:val="32"/>
        </w:rPr>
      </w:pPr>
      <w:r>
        <w:rPr>
          <w:rFonts w:eastAsia="方正仿宋_GBK"/>
          <w:bCs/>
          <w:sz w:val="32"/>
          <w:szCs w:val="32"/>
        </w:rPr>
        <w:t>16．省发展改革委等11部门关于贯彻落实《国家发展改革委等部门关于完善招标投标交易担保制度进一步降低招标投标交易成本的通知》的通知（苏发改法规发〔2023〕339号）</w:t>
      </w:r>
    </w:p>
    <w:p>
      <w:pPr>
        <w:spacing w:line="579" w:lineRule="exact"/>
        <w:ind w:firstLine="640" w:firstLineChars="200"/>
        <w:rPr>
          <w:rFonts w:eastAsia="方正仿宋_GBK"/>
          <w:bCs/>
          <w:sz w:val="32"/>
          <w:szCs w:val="32"/>
        </w:rPr>
      </w:pPr>
      <w:r>
        <w:rPr>
          <w:rFonts w:eastAsia="方正仿宋_GBK"/>
          <w:bCs/>
          <w:sz w:val="32"/>
          <w:szCs w:val="32"/>
        </w:rPr>
        <w:t>17．省发改委江苏省贯彻《招标公告和公示信息发布管理办法》的实施意见（苏发改法规发〔2018〕194号）</w:t>
      </w:r>
    </w:p>
    <w:p>
      <w:pPr>
        <w:spacing w:line="579" w:lineRule="exact"/>
        <w:ind w:firstLine="640" w:firstLineChars="200"/>
        <w:rPr>
          <w:rFonts w:eastAsia="方正仿宋_GBK"/>
          <w:bCs/>
          <w:sz w:val="32"/>
          <w:szCs w:val="32"/>
        </w:rPr>
      </w:pPr>
      <w:r>
        <w:rPr>
          <w:rFonts w:eastAsia="方正仿宋_GBK"/>
          <w:bCs/>
          <w:sz w:val="32"/>
          <w:szCs w:val="32"/>
        </w:rPr>
        <w:t>18</w:t>
      </w:r>
      <w:bookmarkStart w:id="7" w:name="_Toc85884214"/>
      <w:bookmarkStart w:id="8" w:name="_Toc91660426"/>
      <w:bookmarkStart w:id="9" w:name="_Toc91599213"/>
      <w:r>
        <w:rPr>
          <w:rFonts w:eastAsia="方正仿宋_GBK"/>
          <w:bCs/>
          <w:sz w:val="32"/>
          <w:szCs w:val="32"/>
        </w:rPr>
        <w:t>．省住房城乡建设厅、省发展改革委印发关于推进房屋建筑和市政基础设施项目工程总承包发展实施意见的通知</w:t>
      </w:r>
      <w:bookmarkEnd w:id="7"/>
      <w:bookmarkEnd w:id="8"/>
      <w:bookmarkEnd w:id="9"/>
      <w:bookmarkStart w:id="10" w:name="_Toc91660427"/>
      <w:bookmarkStart w:id="11" w:name="_Toc91599214"/>
      <w:bookmarkStart w:id="12" w:name="_Toc85884215"/>
      <w:r>
        <w:rPr>
          <w:rFonts w:eastAsia="方正仿宋_GBK"/>
          <w:bCs/>
          <w:sz w:val="32"/>
          <w:szCs w:val="32"/>
        </w:rPr>
        <w:t>（苏建规字〔2020〕5号</w:t>
      </w:r>
      <w:bookmarkEnd w:id="10"/>
      <w:bookmarkEnd w:id="11"/>
      <w:bookmarkEnd w:id="12"/>
      <w:r>
        <w:rPr>
          <w:rFonts w:eastAsia="方正仿宋_GBK"/>
          <w:bCs/>
          <w:sz w:val="32"/>
          <w:szCs w:val="32"/>
        </w:rPr>
        <w:t>）</w:t>
      </w:r>
    </w:p>
    <w:p>
      <w:pPr>
        <w:spacing w:line="579" w:lineRule="exact"/>
        <w:ind w:firstLine="640" w:firstLineChars="200"/>
        <w:rPr>
          <w:rFonts w:eastAsia="方正仿宋_GBK"/>
          <w:bCs/>
          <w:sz w:val="32"/>
          <w:szCs w:val="32"/>
        </w:rPr>
      </w:pPr>
      <w:r>
        <w:rPr>
          <w:rFonts w:eastAsia="方正仿宋_GBK"/>
          <w:bCs/>
          <w:sz w:val="32"/>
          <w:szCs w:val="32"/>
        </w:rPr>
        <w:t>19．省住房城乡建设厅关于《建设工程工程量清单计价规范》（GB50500—2013）及其9本工程量计算规范的贯彻意见</w:t>
      </w:r>
      <w:bookmarkStart w:id="13" w:name="_Toc28698542"/>
      <w:bookmarkStart w:id="14" w:name="_Toc91660509"/>
      <w:bookmarkStart w:id="15" w:name="_Toc18315828"/>
      <w:bookmarkStart w:id="16" w:name="_Toc20726691"/>
      <w:bookmarkStart w:id="17" w:name="_Toc91599296"/>
      <w:bookmarkStart w:id="18" w:name="_Toc28698868"/>
      <w:bookmarkStart w:id="19" w:name="_Toc85884304"/>
      <w:r>
        <w:rPr>
          <w:rFonts w:eastAsia="方正仿宋_GBK"/>
          <w:bCs/>
          <w:sz w:val="32"/>
          <w:szCs w:val="32"/>
        </w:rPr>
        <w:t>（苏建价〔2014〕448号</w:t>
      </w:r>
      <w:bookmarkEnd w:id="13"/>
      <w:bookmarkEnd w:id="14"/>
      <w:bookmarkEnd w:id="15"/>
      <w:bookmarkEnd w:id="16"/>
      <w:bookmarkEnd w:id="17"/>
      <w:bookmarkEnd w:id="18"/>
      <w:bookmarkEnd w:id="19"/>
      <w:r>
        <w:rPr>
          <w:rFonts w:eastAsia="方正仿宋_GBK"/>
          <w:bCs/>
          <w:sz w:val="32"/>
          <w:szCs w:val="32"/>
        </w:rPr>
        <w:t>）</w:t>
      </w:r>
    </w:p>
    <w:p>
      <w:pPr>
        <w:spacing w:line="579" w:lineRule="exact"/>
        <w:ind w:firstLine="640" w:firstLineChars="200"/>
        <w:rPr>
          <w:rFonts w:eastAsia="方正仿宋_GBK"/>
          <w:bCs/>
          <w:sz w:val="32"/>
          <w:szCs w:val="32"/>
        </w:rPr>
      </w:pPr>
      <w:r>
        <w:rPr>
          <w:rFonts w:eastAsia="方正仿宋_GBK"/>
          <w:bCs/>
          <w:sz w:val="32"/>
          <w:szCs w:val="32"/>
        </w:rPr>
        <w:t>20</w:t>
      </w:r>
      <w:bookmarkStart w:id="20" w:name="_Toc85884318"/>
      <w:bookmarkStart w:id="21" w:name="_Toc20726723"/>
      <w:bookmarkStart w:id="22" w:name="_Toc28698882"/>
      <w:bookmarkStart w:id="23" w:name="_Toc18315859"/>
      <w:bookmarkStart w:id="24" w:name="_Toc91660523"/>
      <w:bookmarkStart w:id="25" w:name="_Toc91599310"/>
      <w:bookmarkStart w:id="26" w:name="_Toc28698556"/>
      <w:r>
        <w:rPr>
          <w:rFonts w:eastAsia="方正仿宋_GBK"/>
          <w:bCs/>
          <w:sz w:val="32"/>
          <w:szCs w:val="32"/>
        </w:rPr>
        <w:t>．省住房城乡建设厅《关于改革和完善房屋建筑和市政基础设施工程招标投标制度的实施意见》</w:t>
      </w:r>
      <w:bookmarkEnd w:id="20"/>
      <w:bookmarkEnd w:id="21"/>
      <w:bookmarkEnd w:id="22"/>
      <w:bookmarkEnd w:id="23"/>
      <w:bookmarkEnd w:id="24"/>
      <w:bookmarkEnd w:id="25"/>
      <w:bookmarkEnd w:id="26"/>
      <w:bookmarkStart w:id="27" w:name="_Toc28698883"/>
      <w:bookmarkStart w:id="28" w:name="_Toc91599311"/>
      <w:bookmarkStart w:id="29" w:name="_Toc91660524"/>
      <w:bookmarkStart w:id="30" w:name="_Toc28698557"/>
      <w:bookmarkStart w:id="31" w:name="_Toc18315860"/>
      <w:bookmarkStart w:id="32" w:name="_Toc20726724"/>
      <w:bookmarkStart w:id="33" w:name="_Toc85884319"/>
      <w:r>
        <w:rPr>
          <w:rFonts w:eastAsia="方正仿宋_GBK"/>
          <w:bCs/>
          <w:sz w:val="32"/>
          <w:szCs w:val="32"/>
        </w:rPr>
        <w:t>（苏建规字〔2017〕1号</w:t>
      </w:r>
      <w:bookmarkEnd w:id="27"/>
      <w:bookmarkEnd w:id="28"/>
      <w:bookmarkEnd w:id="29"/>
      <w:bookmarkEnd w:id="30"/>
      <w:bookmarkEnd w:id="31"/>
      <w:bookmarkEnd w:id="32"/>
      <w:bookmarkEnd w:id="33"/>
      <w:r>
        <w:rPr>
          <w:rFonts w:eastAsia="方正仿宋_GBK"/>
          <w:bCs/>
          <w:sz w:val="32"/>
          <w:szCs w:val="32"/>
        </w:rPr>
        <w:t>）</w:t>
      </w:r>
    </w:p>
    <w:p>
      <w:pPr>
        <w:spacing w:line="579" w:lineRule="exact"/>
        <w:ind w:firstLine="640" w:firstLineChars="200"/>
        <w:rPr>
          <w:rFonts w:eastAsia="方正仿宋_GBK"/>
          <w:bCs/>
          <w:sz w:val="32"/>
          <w:szCs w:val="32"/>
        </w:rPr>
      </w:pPr>
      <w:r>
        <w:rPr>
          <w:rFonts w:eastAsia="方正仿宋_GBK"/>
          <w:bCs/>
          <w:sz w:val="32"/>
          <w:szCs w:val="32"/>
        </w:rPr>
        <w:t>21．省住房城乡建设厅关于印发《江苏省房屋建筑和市政基础设施工程招标投标活动异议与投诉处理实施办法》的通知（苏建规字〔2016〕4号）</w:t>
      </w:r>
    </w:p>
    <w:p>
      <w:pPr>
        <w:spacing w:line="579" w:lineRule="exact"/>
        <w:ind w:firstLine="640" w:firstLineChars="200"/>
        <w:rPr>
          <w:rFonts w:eastAsia="方正仿宋_GBK"/>
          <w:bCs/>
          <w:sz w:val="32"/>
          <w:szCs w:val="32"/>
        </w:rPr>
      </w:pPr>
      <w:r>
        <w:rPr>
          <w:rFonts w:eastAsia="方正仿宋_GBK"/>
          <w:bCs/>
          <w:sz w:val="32"/>
          <w:szCs w:val="32"/>
        </w:rPr>
        <w:t>22．省住房城乡建设厅关于印发深化房屋建筑和市政基础设施工程招标投标改革意见的通知（苏建规字〔2020〕6号）</w:t>
      </w:r>
    </w:p>
    <w:p>
      <w:pPr>
        <w:spacing w:line="579" w:lineRule="exact"/>
        <w:ind w:firstLine="640" w:firstLineChars="200"/>
        <w:rPr>
          <w:rFonts w:eastAsia="方正仿宋_GBK"/>
          <w:bCs/>
          <w:sz w:val="32"/>
          <w:szCs w:val="32"/>
        </w:rPr>
      </w:pPr>
      <w:r>
        <w:rPr>
          <w:rFonts w:eastAsia="方正仿宋_GBK"/>
          <w:bCs/>
          <w:sz w:val="32"/>
          <w:szCs w:val="32"/>
        </w:rPr>
        <w:t>23．关于印发《关于在全省国有资金投资房屋建筑和市政基础设施工程项目招标中推进“评定分离”工作的实施意见（试行）》的通知（苏建规字〔2023〕2号）</w:t>
      </w:r>
    </w:p>
    <w:p>
      <w:pPr>
        <w:spacing w:line="579" w:lineRule="exact"/>
        <w:ind w:firstLine="640" w:firstLineChars="200"/>
        <w:rPr>
          <w:rFonts w:eastAsia="方正仿宋_GBK"/>
          <w:bCs/>
          <w:sz w:val="32"/>
          <w:szCs w:val="32"/>
        </w:rPr>
      </w:pPr>
      <w:r>
        <w:rPr>
          <w:rFonts w:eastAsia="方正仿宋_GBK"/>
          <w:bCs/>
          <w:sz w:val="32"/>
          <w:szCs w:val="32"/>
        </w:rPr>
        <w:t>24．省招标办关于编制印发江苏省房屋建筑和市政基础设施工程招标人主体责任清单的通知（苏建函招〔2023〕502号）</w:t>
      </w:r>
    </w:p>
    <w:p>
      <w:pPr>
        <w:spacing w:line="579" w:lineRule="exact"/>
        <w:ind w:firstLine="640" w:firstLineChars="200"/>
        <w:rPr>
          <w:rFonts w:eastAsia="方正仿宋_GBK"/>
          <w:bCs/>
          <w:sz w:val="32"/>
          <w:szCs w:val="32"/>
        </w:rPr>
      </w:pPr>
      <w:r>
        <w:rPr>
          <w:rFonts w:eastAsia="方正仿宋_GBK"/>
          <w:bCs/>
          <w:sz w:val="32"/>
          <w:szCs w:val="32"/>
        </w:rPr>
        <w:t>25．省住房城乡建设厅关于明确施工项目经理部关键岗位人员网上备案标准及有关管理要求的通知（苏建建管〔2017〕236号）</w:t>
      </w:r>
    </w:p>
    <w:p>
      <w:pPr>
        <w:spacing w:line="579" w:lineRule="exact"/>
        <w:ind w:firstLine="640" w:firstLineChars="200"/>
        <w:rPr>
          <w:rFonts w:eastAsia="方正仿宋_GBK"/>
          <w:bCs/>
          <w:sz w:val="32"/>
          <w:szCs w:val="32"/>
        </w:rPr>
      </w:pPr>
      <w:r>
        <w:rPr>
          <w:rFonts w:eastAsia="方正仿宋_GBK"/>
          <w:bCs/>
          <w:sz w:val="32"/>
          <w:szCs w:val="32"/>
        </w:rPr>
        <w:t>26．省招标办关于印发江苏省房屋建筑和市政基础设施项目工程总承包招标投标导则的通知（苏建招办〔2018〕3号）</w:t>
      </w:r>
    </w:p>
    <w:p>
      <w:pPr>
        <w:spacing w:line="579" w:lineRule="exact"/>
        <w:ind w:firstLine="640" w:firstLineChars="200"/>
        <w:rPr>
          <w:rFonts w:eastAsia="方正仿宋_GBK"/>
          <w:bCs/>
          <w:sz w:val="32"/>
          <w:szCs w:val="32"/>
        </w:rPr>
      </w:pPr>
      <w:r>
        <w:rPr>
          <w:rFonts w:eastAsia="方正仿宋_GBK"/>
          <w:bCs/>
          <w:sz w:val="32"/>
          <w:szCs w:val="32"/>
        </w:rPr>
        <w:t>27．省招标办关于对江苏省房屋建筑和市政基础设施项目工程总承包招标投标导则等文件相关内容进行调整的通知（苏建招办〔2019〕2号</w:t>
      </w:r>
    </w:p>
    <w:p>
      <w:pPr>
        <w:spacing w:line="579" w:lineRule="exact"/>
        <w:ind w:firstLine="640" w:firstLineChars="200"/>
        <w:rPr>
          <w:rFonts w:eastAsia="方正仿宋_GBK"/>
          <w:bCs/>
          <w:sz w:val="32"/>
          <w:szCs w:val="32"/>
        </w:rPr>
      </w:pPr>
      <w:r>
        <w:rPr>
          <w:rFonts w:eastAsia="方正仿宋_GBK"/>
          <w:bCs/>
          <w:sz w:val="32"/>
          <w:szCs w:val="32"/>
        </w:rPr>
        <w:t>28．省招标办关于印发江苏省工程招标代理机构动态考评管理办法（试行）的通知</w:t>
      </w:r>
    </w:p>
    <w:p>
      <w:pPr>
        <w:spacing w:line="579" w:lineRule="exact"/>
        <w:ind w:firstLine="640" w:firstLineChars="200"/>
        <w:rPr>
          <w:rFonts w:eastAsia="方正仿宋_GBK"/>
          <w:bCs/>
          <w:sz w:val="32"/>
          <w:szCs w:val="32"/>
        </w:rPr>
      </w:pPr>
      <w:r>
        <w:rPr>
          <w:rFonts w:eastAsia="方正仿宋_GBK"/>
          <w:bCs/>
          <w:sz w:val="32"/>
          <w:szCs w:val="32"/>
        </w:rPr>
        <w:t>29．关于建立工程建设招标计划提前发布制度的通知（盐公管办〔2022〕2号）</w:t>
      </w:r>
    </w:p>
    <w:p>
      <w:pPr>
        <w:spacing w:line="579" w:lineRule="exact"/>
        <w:ind w:firstLine="640" w:firstLineChars="200"/>
        <w:rPr>
          <w:rFonts w:eastAsia="方正仿宋_GBK"/>
          <w:bCs/>
          <w:sz w:val="32"/>
          <w:szCs w:val="32"/>
        </w:rPr>
      </w:pPr>
      <w:r>
        <w:rPr>
          <w:rFonts w:eastAsia="方正仿宋_GBK"/>
          <w:bCs/>
          <w:sz w:val="32"/>
          <w:szCs w:val="32"/>
        </w:rPr>
        <w:t>30．关于明确当前建设工程招投标监管有关问题的通知（盐住建招〔2022〕2号）</w:t>
      </w:r>
    </w:p>
    <w:p>
      <w:pPr>
        <w:spacing w:line="579" w:lineRule="exact"/>
        <w:ind w:firstLine="640" w:firstLineChars="200"/>
      </w:pPr>
      <w:r>
        <w:rPr>
          <w:rFonts w:eastAsia="方正仿宋_GBK"/>
          <w:bCs/>
          <w:sz w:val="32"/>
          <w:szCs w:val="32"/>
        </w:rPr>
        <w:t>31．关于在我市房屋建筑和市政基础设施工程招投标领域推广应用第三方信用报告的通知（盐住建招〔2022〕3号）</w:t>
      </w:r>
    </w:p>
    <w:p>
      <w:pPr>
        <w:spacing w:line="579" w:lineRule="exact"/>
        <w:ind w:firstLine="640" w:firstLineChars="200"/>
        <w:rPr>
          <w:rFonts w:eastAsia="方正仿宋_GBK"/>
          <w:bCs/>
          <w:sz w:val="32"/>
          <w:szCs w:val="32"/>
        </w:rPr>
      </w:pPr>
      <w:r>
        <w:rPr>
          <w:rFonts w:eastAsia="方正仿宋_GBK"/>
          <w:bCs/>
          <w:sz w:val="32"/>
          <w:szCs w:val="32"/>
        </w:rPr>
        <w:t>32．关于调整建设工程项目最高投标限价公布方式的通知（盐住建招〔2023〕4号）</w:t>
      </w:r>
    </w:p>
    <w:p>
      <w:pPr>
        <w:spacing w:line="579" w:lineRule="exact"/>
        <w:ind w:firstLine="640" w:firstLineChars="200"/>
        <w:rPr>
          <w:rFonts w:eastAsia="方正仿宋_GBK"/>
          <w:bCs/>
          <w:sz w:val="32"/>
          <w:szCs w:val="32"/>
        </w:rPr>
      </w:pPr>
      <w:r>
        <w:rPr>
          <w:rFonts w:eastAsia="方正仿宋_GBK"/>
          <w:bCs/>
          <w:sz w:val="32"/>
          <w:szCs w:val="32"/>
        </w:rPr>
        <w:t>33．关于印发《盐城市国有资金投资房屋建筑和市政基础设施工程“评定分离导则（试行）》的通知（盐住建招〔2023〕11号）</w:t>
      </w:r>
    </w:p>
    <w:p>
      <w:pPr>
        <w:spacing w:line="579" w:lineRule="exact"/>
        <w:ind w:firstLine="640" w:firstLineChars="200"/>
        <w:rPr>
          <w:rFonts w:eastAsia="方正仿宋_GBK"/>
          <w:bCs/>
          <w:sz w:val="32"/>
          <w:szCs w:val="32"/>
        </w:rPr>
        <w:sectPr>
          <w:footerReference r:id="rId5" w:type="default"/>
          <w:footerReference r:id="rId6" w:type="even"/>
          <w:pgSz w:w="11907" w:h="16840"/>
          <w:pgMar w:top="2098" w:right="1474" w:bottom="1984" w:left="1587" w:header="737" w:footer="1417" w:gutter="0"/>
          <w:pgNumType w:start="1"/>
          <w:cols w:space="720" w:num="1"/>
          <w:docGrid w:linePitch="312" w:charSpace="-2991"/>
        </w:sectPr>
      </w:pPr>
      <w:r>
        <w:rPr>
          <w:rFonts w:eastAsia="方正仿宋_GBK"/>
          <w:bCs/>
          <w:sz w:val="32"/>
          <w:szCs w:val="32"/>
        </w:rPr>
        <w:t>34．关于开展全市建设工程招投标领域各方主体不良行为记录管理的通知（盐住建招〔2023〕12号）</w:t>
      </w:r>
    </w:p>
    <w:p>
      <w:pPr>
        <w:spacing w:line="579" w:lineRule="exact"/>
        <w:rPr>
          <w:rFonts w:eastAsia="黑体"/>
          <w:sz w:val="32"/>
          <w:szCs w:val="32"/>
        </w:rPr>
      </w:pPr>
      <w:r>
        <w:rPr>
          <w:rFonts w:eastAsia="黑体"/>
          <w:sz w:val="32"/>
          <w:szCs w:val="32"/>
        </w:rPr>
        <w:t>附件2</w:t>
      </w:r>
    </w:p>
    <w:p>
      <w:pPr>
        <w:spacing w:line="579" w:lineRule="exact"/>
        <w:rPr>
          <w:rFonts w:eastAsia="黑体"/>
          <w:sz w:val="32"/>
          <w:szCs w:val="32"/>
        </w:rPr>
      </w:pPr>
    </w:p>
    <w:p>
      <w:pPr>
        <w:spacing w:line="579" w:lineRule="exact"/>
        <w:jc w:val="center"/>
        <w:rPr>
          <w:rFonts w:eastAsia="方正小标宋_GBK"/>
          <w:bCs/>
          <w:sz w:val="44"/>
          <w:szCs w:val="44"/>
        </w:rPr>
      </w:pPr>
      <w:r>
        <w:rPr>
          <w:rFonts w:eastAsia="方正小标宋_GBK"/>
          <w:bCs/>
          <w:sz w:val="44"/>
          <w:szCs w:val="44"/>
        </w:rPr>
        <w:t>现行有效的标准招标文件</w:t>
      </w:r>
    </w:p>
    <w:p>
      <w:pPr>
        <w:spacing w:line="400" w:lineRule="exact"/>
        <w:jc w:val="center"/>
        <w:rPr>
          <w:rFonts w:eastAsia="仿宋_GB2312"/>
          <w:bCs/>
          <w:sz w:val="32"/>
          <w:szCs w:val="32"/>
        </w:rPr>
      </w:pPr>
    </w:p>
    <w:p>
      <w:pPr>
        <w:spacing w:line="579" w:lineRule="exact"/>
        <w:ind w:firstLine="640" w:firstLineChars="200"/>
        <w:rPr>
          <w:rFonts w:eastAsia="方正仿宋_GBK"/>
          <w:bCs/>
          <w:sz w:val="32"/>
          <w:szCs w:val="32"/>
        </w:rPr>
      </w:pPr>
      <w:r>
        <w:rPr>
          <w:rFonts w:eastAsia="方正仿宋_GBK"/>
          <w:bCs/>
          <w:sz w:val="32"/>
          <w:szCs w:val="32"/>
        </w:rPr>
        <w:t>1．房屋建筑和市政基础设施工程施工招标格式文件</w:t>
      </w:r>
    </w:p>
    <w:p>
      <w:pPr>
        <w:spacing w:line="579" w:lineRule="exact"/>
        <w:ind w:firstLine="640" w:firstLineChars="200"/>
        <w:rPr>
          <w:rFonts w:eastAsia="方正仿宋_GBK"/>
          <w:bCs/>
          <w:sz w:val="32"/>
          <w:szCs w:val="32"/>
        </w:rPr>
      </w:pPr>
      <w:r>
        <w:rPr>
          <w:rFonts w:eastAsia="方正仿宋_GBK"/>
          <w:bCs/>
          <w:sz w:val="32"/>
          <w:szCs w:val="32"/>
        </w:rPr>
        <w:t>2．房屋建筑和市政基础设施工程总承包招标格式文件</w:t>
      </w:r>
    </w:p>
    <w:p>
      <w:pPr>
        <w:spacing w:line="579" w:lineRule="exact"/>
        <w:ind w:firstLine="640" w:firstLineChars="200"/>
        <w:rPr>
          <w:rFonts w:eastAsia="方正仿宋_GBK"/>
          <w:bCs/>
          <w:sz w:val="32"/>
          <w:szCs w:val="32"/>
        </w:rPr>
      </w:pPr>
      <w:r>
        <w:rPr>
          <w:rFonts w:eastAsia="方正仿宋_GBK"/>
          <w:bCs/>
          <w:sz w:val="32"/>
          <w:szCs w:val="32"/>
        </w:rPr>
        <w:t>3．房屋建筑和市政基础设施工程设计招标格式文件</w:t>
      </w:r>
    </w:p>
    <w:p>
      <w:pPr>
        <w:spacing w:line="579" w:lineRule="exact"/>
        <w:ind w:firstLine="640" w:firstLineChars="200"/>
        <w:rPr>
          <w:rFonts w:eastAsia="方正仿宋_GBK"/>
          <w:bCs/>
          <w:sz w:val="32"/>
          <w:szCs w:val="32"/>
        </w:rPr>
      </w:pPr>
      <w:r>
        <w:rPr>
          <w:rFonts w:eastAsia="方正仿宋_GBK"/>
          <w:bCs/>
          <w:sz w:val="32"/>
          <w:szCs w:val="32"/>
        </w:rPr>
        <w:t>4．房屋建筑和市政基础设施工程监理招标格式文件</w:t>
      </w:r>
    </w:p>
    <w:p>
      <w:pPr>
        <w:spacing w:line="579" w:lineRule="exact"/>
        <w:ind w:firstLine="640" w:firstLineChars="200"/>
        <w:rPr>
          <w:rFonts w:eastAsia="方正仿宋_GBK"/>
          <w:bCs/>
          <w:sz w:val="32"/>
          <w:szCs w:val="32"/>
        </w:rPr>
      </w:pPr>
      <w:r>
        <w:rPr>
          <w:rFonts w:eastAsia="方正仿宋_GBK"/>
          <w:bCs/>
          <w:sz w:val="32"/>
          <w:szCs w:val="32"/>
        </w:rPr>
        <w:t>5．房屋建筑和市政基础设施工程货物招标格式文件</w:t>
      </w:r>
    </w:p>
    <w:p>
      <w:pPr>
        <w:spacing w:line="579" w:lineRule="exact"/>
        <w:rPr>
          <w:rFonts w:eastAsia="方正仿宋_GBK"/>
          <w:sz w:val="32"/>
          <w:szCs w:val="32"/>
        </w:rPr>
      </w:pPr>
    </w:p>
    <w:p>
      <w:pPr>
        <w:spacing w:line="579" w:lineRule="exact"/>
        <w:rPr>
          <w:rFonts w:eastAsia="方正仿宋_GBK"/>
          <w:sz w:val="32"/>
          <w:szCs w:val="32"/>
        </w:rPr>
      </w:pPr>
    </w:p>
    <w:p>
      <w:pPr>
        <w:spacing w:line="579" w:lineRule="exact"/>
        <w:rPr>
          <w:rFonts w:eastAsia="黑体"/>
          <w:sz w:val="32"/>
          <w:szCs w:val="32"/>
        </w:rPr>
      </w:pPr>
    </w:p>
    <w:p>
      <w:pPr>
        <w:spacing w:line="578" w:lineRule="exact"/>
        <w:rPr>
          <w:rFonts w:eastAsia="黑体"/>
          <w:sz w:val="32"/>
          <w:szCs w:val="32"/>
        </w:rPr>
      </w:pPr>
    </w:p>
    <w:p>
      <w:pPr>
        <w:spacing w:line="578" w:lineRule="exact"/>
        <w:rPr>
          <w:rFonts w:eastAsia="黑体"/>
          <w:sz w:val="32"/>
          <w:szCs w:val="32"/>
        </w:rPr>
      </w:pPr>
    </w:p>
    <w:p>
      <w:pPr>
        <w:spacing w:line="578" w:lineRule="exact"/>
        <w:rPr>
          <w:rFonts w:eastAsia="黑体"/>
          <w:sz w:val="32"/>
          <w:szCs w:val="32"/>
        </w:rPr>
      </w:pPr>
    </w:p>
    <w:p>
      <w:pPr>
        <w:spacing w:line="578" w:lineRule="exact"/>
        <w:rPr>
          <w:rFonts w:eastAsia="黑体"/>
          <w:sz w:val="32"/>
          <w:szCs w:val="32"/>
        </w:rPr>
      </w:pPr>
    </w:p>
    <w:p>
      <w:pPr>
        <w:spacing w:line="578" w:lineRule="exact"/>
        <w:rPr>
          <w:rFonts w:eastAsia="黑体"/>
          <w:sz w:val="32"/>
          <w:szCs w:val="32"/>
        </w:rPr>
      </w:pPr>
    </w:p>
    <w:p>
      <w:pPr>
        <w:spacing w:line="578" w:lineRule="exact"/>
        <w:rPr>
          <w:rFonts w:eastAsia="黑体"/>
          <w:sz w:val="32"/>
          <w:szCs w:val="32"/>
        </w:rPr>
      </w:pPr>
    </w:p>
    <w:p>
      <w:pPr>
        <w:spacing w:line="578" w:lineRule="exact"/>
        <w:rPr>
          <w:rFonts w:eastAsia="黑体"/>
          <w:sz w:val="32"/>
          <w:szCs w:val="32"/>
        </w:rPr>
      </w:pPr>
    </w:p>
    <w:p>
      <w:pPr>
        <w:spacing w:line="578" w:lineRule="exact"/>
        <w:rPr>
          <w:rFonts w:eastAsia="黑体"/>
          <w:sz w:val="32"/>
          <w:szCs w:val="32"/>
        </w:rPr>
      </w:pPr>
    </w:p>
    <w:p>
      <w:pPr>
        <w:spacing w:line="578" w:lineRule="exact"/>
        <w:rPr>
          <w:rFonts w:eastAsia="黑体"/>
          <w:sz w:val="32"/>
          <w:szCs w:val="32"/>
        </w:rPr>
      </w:pPr>
    </w:p>
    <w:p>
      <w:pPr>
        <w:spacing w:line="578" w:lineRule="exact"/>
        <w:rPr>
          <w:rFonts w:eastAsia="黑体"/>
          <w:sz w:val="32"/>
          <w:szCs w:val="32"/>
        </w:rPr>
      </w:pPr>
    </w:p>
    <w:p>
      <w:pPr>
        <w:spacing w:line="578" w:lineRule="exact"/>
        <w:rPr>
          <w:rFonts w:eastAsia="黑体"/>
          <w:sz w:val="32"/>
          <w:szCs w:val="32"/>
        </w:rPr>
      </w:pPr>
      <w:r>
        <w:rPr>
          <w:rFonts w:eastAsia="黑体"/>
          <w:sz w:val="32"/>
          <w:szCs w:val="32"/>
        </w:rPr>
        <w:t>附件3</w:t>
      </w:r>
    </w:p>
    <w:p>
      <w:pPr>
        <w:pStyle w:val="7"/>
        <w:spacing w:line="578" w:lineRule="exact"/>
        <w:jc w:val="center"/>
        <w:rPr>
          <w:rFonts w:eastAsia="仿宋_GB2312"/>
          <w:sz w:val="38"/>
        </w:rPr>
      </w:pPr>
    </w:p>
    <w:p>
      <w:pPr>
        <w:spacing w:line="618" w:lineRule="exact"/>
        <w:jc w:val="center"/>
        <w:rPr>
          <w:rFonts w:eastAsia="方正小标宋_GBK"/>
          <w:bCs/>
          <w:sz w:val="44"/>
          <w:szCs w:val="44"/>
        </w:rPr>
      </w:pPr>
      <w:r>
        <w:rPr>
          <w:rFonts w:eastAsia="方正小标宋_GBK"/>
          <w:bCs/>
          <w:sz w:val="44"/>
          <w:szCs w:val="44"/>
        </w:rPr>
        <w:t>房屋建筑和市政基础设施工程项目</w:t>
      </w:r>
    </w:p>
    <w:p>
      <w:pPr>
        <w:pStyle w:val="7"/>
        <w:spacing w:line="618" w:lineRule="exact"/>
        <w:jc w:val="center"/>
        <w:rPr>
          <w:rFonts w:eastAsia="方正小标宋_GBK"/>
          <w:sz w:val="44"/>
          <w:szCs w:val="44"/>
        </w:rPr>
      </w:pPr>
      <w:r>
        <w:rPr>
          <w:rFonts w:eastAsia="方正小标宋_GBK"/>
          <w:sz w:val="44"/>
          <w:szCs w:val="44"/>
        </w:rPr>
        <w:t>招标投标情况书面报告</w:t>
      </w:r>
    </w:p>
    <w:p>
      <w:pPr>
        <w:spacing w:line="618" w:lineRule="exact"/>
        <w:jc w:val="center"/>
        <w:rPr>
          <w:rFonts w:eastAsia="楷体"/>
          <w:bCs/>
          <w:sz w:val="44"/>
          <w:szCs w:val="44"/>
        </w:rPr>
      </w:pPr>
      <w:r>
        <w:rPr>
          <w:rFonts w:eastAsia="楷体"/>
          <w:bCs/>
          <w:sz w:val="44"/>
          <w:szCs w:val="44"/>
        </w:rPr>
        <w:t>（格式）</w:t>
      </w:r>
    </w:p>
    <w:p>
      <w:pPr>
        <w:spacing w:line="578" w:lineRule="exact"/>
        <w:jc w:val="center"/>
        <w:rPr>
          <w:rFonts w:eastAsia="仿宋_GB2312"/>
          <w:b/>
          <w:bCs/>
          <w:sz w:val="44"/>
          <w:szCs w:val="44"/>
        </w:rPr>
      </w:pPr>
    </w:p>
    <w:p>
      <w:pPr>
        <w:spacing w:line="578" w:lineRule="exact"/>
        <w:jc w:val="center"/>
        <w:rPr>
          <w:rFonts w:eastAsia="仿宋_GB2312"/>
          <w:b/>
          <w:bCs/>
          <w:sz w:val="44"/>
        </w:rPr>
      </w:pPr>
    </w:p>
    <w:p>
      <w:pPr>
        <w:adjustRightInd w:val="0"/>
        <w:snapToGrid w:val="0"/>
        <w:spacing w:line="578" w:lineRule="exact"/>
        <w:jc w:val="left"/>
        <w:outlineLvl w:val="0"/>
        <w:rPr>
          <w:rFonts w:eastAsia="黑体"/>
          <w:sz w:val="32"/>
          <w:szCs w:val="32"/>
          <w:u w:val="single"/>
        </w:rPr>
      </w:pPr>
      <w:r>
        <w:rPr>
          <w:rFonts w:eastAsia="黑体"/>
          <w:sz w:val="32"/>
          <w:szCs w:val="32"/>
        </w:rPr>
        <w:t>项目名称和编号：</w:t>
      </w:r>
      <w:r>
        <w:rPr>
          <w:rFonts w:eastAsia="黑体"/>
          <w:sz w:val="32"/>
          <w:szCs w:val="32"/>
          <w:u w:val="single"/>
        </w:rPr>
        <w:t xml:space="preserve">                                     </w:t>
      </w:r>
    </w:p>
    <w:p>
      <w:pPr>
        <w:adjustRightInd w:val="0"/>
        <w:snapToGrid w:val="0"/>
        <w:spacing w:line="578" w:lineRule="exact"/>
        <w:jc w:val="left"/>
        <w:outlineLvl w:val="0"/>
        <w:rPr>
          <w:rFonts w:eastAsia="黑体"/>
          <w:sz w:val="32"/>
          <w:szCs w:val="32"/>
        </w:rPr>
      </w:pPr>
    </w:p>
    <w:p>
      <w:pPr>
        <w:adjustRightInd w:val="0"/>
        <w:snapToGrid w:val="0"/>
        <w:spacing w:line="578" w:lineRule="exact"/>
        <w:jc w:val="left"/>
        <w:outlineLvl w:val="0"/>
        <w:rPr>
          <w:rFonts w:eastAsia="黑体"/>
          <w:b/>
          <w:sz w:val="32"/>
          <w:szCs w:val="32"/>
          <w:u w:val="single"/>
        </w:rPr>
      </w:pPr>
      <w:r>
        <w:rPr>
          <w:rFonts w:eastAsia="黑体"/>
          <w:sz w:val="32"/>
          <w:szCs w:val="32"/>
        </w:rPr>
        <w:t>标段名称和编号</w:t>
      </w:r>
      <w:r>
        <w:rPr>
          <w:rFonts w:eastAsia="黑体"/>
          <w:b/>
          <w:sz w:val="32"/>
          <w:szCs w:val="32"/>
        </w:rPr>
        <w:t>：</w:t>
      </w:r>
      <w:r>
        <w:rPr>
          <w:rFonts w:eastAsia="黑体"/>
          <w:b/>
          <w:sz w:val="32"/>
          <w:szCs w:val="32"/>
          <w:u w:val="single"/>
        </w:rPr>
        <w:t xml:space="preserve">                                     </w:t>
      </w:r>
    </w:p>
    <w:p>
      <w:pPr>
        <w:adjustRightInd w:val="0"/>
        <w:snapToGrid w:val="0"/>
        <w:spacing w:line="578" w:lineRule="exact"/>
        <w:jc w:val="left"/>
        <w:outlineLvl w:val="0"/>
        <w:rPr>
          <w:rFonts w:eastAsia="黑体"/>
          <w:b/>
          <w:spacing w:val="-20"/>
          <w:sz w:val="48"/>
          <w:szCs w:val="48"/>
          <w:u w:val="single"/>
        </w:rPr>
      </w:pPr>
    </w:p>
    <w:p>
      <w:pPr>
        <w:spacing w:line="578" w:lineRule="exact"/>
        <w:jc w:val="center"/>
        <w:rPr>
          <w:rFonts w:eastAsia="仿宋_GB2312"/>
          <w:b/>
          <w:bCs/>
          <w:sz w:val="44"/>
        </w:rPr>
      </w:pPr>
    </w:p>
    <w:p>
      <w:pPr>
        <w:spacing w:line="578" w:lineRule="exact"/>
        <w:jc w:val="center"/>
        <w:rPr>
          <w:rFonts w:eastAsia="仿宋_GB2312"/>
          <w:b/>
          <w:bCs/>
          <w:sz w:val="44"/>
        </w:rPr>
      </w:pPr>
    </w:p>
    <w:p>
      <w:pPr>
        <w:spacing w:line="578" w:lineRule="exact"/>
        <w:jc w:val="center"/>
        <w:rPr>
          <w:rFonts w:eastAsia="仿宋_GB2312"/>
          <w:b/>
          <w:bCs/>
          <w:sz w:val="44"/>
        </w:rPr>
      </w:pPr>
    </w:p>
    <w:p>
      <w:pPr>
        <w:spacing w:line="578" w:lineRule="exact"/>
        <w:ind w:firstLine="1004" w:firstLineChars="314"/>
        <w:rPr>
          <w:rFonts w:eastAsia="楷体_GB2312"/>
          <w:bCs/>
          <w:sz w:val="32"/>
          <w:szCs w:val="36"/>
          <w:u w:val="single"/>
        </w:rPr>
      </w:pPr>
      <w:r>
        <w:rPr>
          <w:rFonts w:eastAsia="楷体_GB2312"/>
          <w:bCs/>
          <w:sz w:val="32"/>
          <w:szCs w:val="36"/>
        </w:rPr>
        <w:t xml:space="preserve">招标人（盖章）：                       </w:t>
      </w:r>
    </w:p>
    <w:p>
      <w:pPr>
        <w:spacing w:line="578" w:lineRule="exact"/>
        <w:ind w:firstLine="1004" w:firstLineChars="314"/>
        <w:rPr>
          <w:rFonts w:eastAsia="楷体_GB2312"/>
          <w:bCs/>
          <w:sz w:val="32"/>
          <w:szCs w:val="36"/>
        </w:rPr>
      </w:pPr>
      <w:r>
        <w:rPr>
          <w:rFonts w:eastAsia="楷体_GB2312"/>
          <w:bCs/>
          <w:sz w:val="32"/>
          <w:szCs w:val="36"/>
        </w:rPr>
        <w:t xml:space="preserve">招标代理（盖章）：                       </w:t>
      </w:r>
    </w:p>
    <w:p>
      <w:pPr>
        <w:spacing w:line="578" w:lineRule="exact"/>
        <w:ind w:firstLine="1004" w:firstLineChars="314"/>
        <w:rPr>
          <w:rFonts w:eastAsia="楷体_GB2312"/>
          <w:bCs/>
          <w:sz w:val="32"/>
          <w:szCs w:val="36"/>
        </w:rPr>
      </w:pPr>
    </w:p>
    <w:p>
      <w:pPr>
        <w:spacing w:line="578" w:lineRule="exact"/>
        <w:ind w:firstLine="1004" w:firstLineChars="314"/>
        <w:rPr>
          <w:rFonts w:eastAsia="楷体_GB2312"/>
          <w:bCs/>
          <w:sz w:val="32"/>
          <w:szCs w:val="36"/>
        </w:rPr>
      </w:pPr>
    </w:p>
    <w:p>
      <w:pPr>
        <w:spacing w:line="578" w:lineRule="exact"/>
        <w:ind w:firstLine="3561" w:firstLineChars="1113"/>
        <w:rPr>
          <w:rFonts w:eastAsia="楷体_GB2312"/>
          <w:bCs/>
          <w:sz w:val="32"/>
          <w:szCs w:val="36"/>
        </w:rPr>
      </w:pPr>
      <w:r>
        <w:rPr>
          <w:rFonts w:eastAsia="楷体_GB2312"/>
          <w:bCs/>
          <w:sz w:val="32"/>
          <w:szCs w:val="36"/>
        </w:rPr>
        <w:t>年    月   日</w:t>
      </w: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spacing w:line="578" w:lineRule="exact"/>
        <w:jc w:val="center"/>
        <w:rPr>
          <w:rFonts w:eastAsia="方正小标宋简体"/>
          <w:bCs/>
          <w:color w:val="000000" w:themeColor="text1"/>
          <w:sz w:val="44"/>
          <w14:textFill>
            <w14:solidFill>
              <w14:schemeClr w14:val="tx1"/>
            </w14:solidFill>
          </w14:textFill>
        </w:rPr>
      </w:pPr>
      <w:r>
        <w:rPr>
          <w:rFonts w:eastAsia="方正小标宋简体"/>
          <w:bCs/>
          <w:color w:val="000000" w:themeColor="text1"/>
          <w:sz w:val="44"/>
          <w14:textFill>
            <w14:solidFill>
              <w14:schemeClr w14:val="tx1"/>
            </w14:solidFill>
          </w14:textFill>
        </w:rPr>
        <w:t>目    录</w:t>
      </w:r>
    </w:p>
    <w:p>
      <w:pPr>
        <w:spacing w:line="578" w:lineRule="exact"/>
        <w:rPr>
          <w:rFonts w:eastAsia="仿宋_GB2312"/>
          <w:b/>
          <w:sz w:val="28"/>
        </w:rPr>
      </w:pP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一、招标投标基本情况表。</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二、招标公告或资格预审公告或投标邀请书。</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三、招标文件、资格预审文件（如有）。</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四、招标文件、资格预审文件澄清或修改文件（如有）。</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五、资格审查委员会组成情况和资格审查报告（如有）。</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六、资格预审结果公告（如有）。</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七、开标记录。</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676767"/>
          <w:sz w:val="32"/>
          <w:szCs w:val="32"/>
        </w:rPr>
      </w:pPr>
      <w:r>
        <w:rPr>
          <w:rFonts w:ascii="Times New Roman" w:hAnsi="Times New Roman" w:eastAsia="方正仿宋_GBK" w:cs="Times New Roman"/>
          <w:bCs/>
          <w:color w:val="333333"/>
          <w:sz w:val="32"/>
          <w:szCs w:val="32"/>
          <w:shd w:val="clear" w:color="auto" w:fill="FFFFFF"/>
        </w:rPr>
        <w:t>八、评标（定标，如有）委员会组成情况和评标（定标，如有）报告。</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676767"/>
          <w:sz w:val="32"/>
          <w:szCs w:val="32"/>
        </w:rPr>
      </w:pPr>
      <w:r>
        <w:rPr>
          <w:rFonts w:ascii="Times New Roman" w:hAnsi="Times New Roman" w:eastAsia="方正仿宋_GBK" w:cs="Times New Roman"/>
          <w:bCs/>
          <w:color w:val="333333"/>
          <w:sz w:val="32"/>
          <w:szCs w:val="32"/>
          <w:shd w:val="clear" w:color="auto" w:fill="FFFFFF"/>
        </w:rPr>
        <w:t>九、评标（定标）结果公示。</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十、中标结果公告。</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十一、异议、异议处理和答复材料（如有）。</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十二、其他需要提供的材料。</w:t>
      </w:r>
    </w:p>
    <w:p>
      <w:pPr>
        <w:pStyle w:val="20"/>
        <w:widowControl w:val="0"/>
        <w:shd w:val="clear" w:color="auto" w:fill="FFFFFF"/>
        <w:spacing w:before="0" w:beforeAutospacing="0" w:after="0" w:afterAutospacing="0" w:line="579" w:lineRule="exact"/>
        <w:rPr>
          <w:rFonts w:ascii="Times New Roman" w:hAnsi="Times New Roman" w:eastAsia="方正仿宋_GBK" w:cs="Times New Roman"/>
          <w:color w:val="333333"/>
          <w:sz w:val="32"/>
          <w:szCs w:val="32"/>
          <w:shd w:val="clear" w:color="auto" w:fill="FFFFFF"/>
        </w:rPr>
      </w:pPr>
    </w:p>
    <w:p>
      <w:pPr>
        <w:spacing w:line="579" w:lineRule="exact"/>
        <w:ind w:firstLine="640" w:firstLineChars="200"/>
        <w:rPr>
          <w:rFonts w:eastAsia="仿宋_GB2312"/>
          <w:sz w:val="32"/>
          <w:szCs w:val="32"/>
        </w:rPr>
      </w:pPr>
    </w:p>
    <w:p>
      <w:pPr>
        <w:pStyle w:val="17"/>
        <w:spacing w:line="578" w:lineRule="exact"/>
        <w:rPr>
          <w:sz w:val="32"/>
          <w:szCs w:val="32"/>
        </w:rPr>
        <w:sectPr>
          <w:headerReference r:id="rId7" w:type="default"/>
          <w:pgSz w:w="11907" w:h="16840"/>
          <w:pgMar w:top="2098" w:right="1474" w:bottom="1985" w:left="1588" w:header="737" w:footer="1418" w:gutter="0"/>
          <w:cols w:space="720" w:num="1"/>
          <w:docGrid w:linePitch="312" w:charSpace="-2991"/>
        </w:sectPr>
      </w:pPr>
    </w:p>
    <w:p>
      <w:pPr>
        <w:spacing w:line="578" w:lineRule="exact"/>
        <w:rPr>
          <w:rFonts w:eastAsia="黑体"/>
          <w:sz w:val="32"/>
          <w:szCs w:val="32"/>
        </w:rPr>
      </w:pPr>
      <w:r>
        <w:rPr>
          <w:rFonts w:eastAsia="黑体"/>
          <w:sz w:val="32"/>
          <w:szCs w:val="32"/>
        </w:rPr>
        <w:t>附件4</w:t>
      </w:r>
    </w:p>
    <w:p>
      <w:pPr>
        <w:pStyle w:val="4"/>
        <w:spacing w:line="578" w:lineRule="exact"/>
        <w:jc w:val="center"/>
        <w:rPr>
          <w:rFonts w:ascii="Times New Roman" w:hAnsi="Times New Roman" w:eastAsia="方正小标宋_GBK"/>
          <w:b w:val="0"/>
          <w:sz w:val="44"/>
          <w:szCs w:val="44"/>
        </w:rPr>
      </w:pPr>
      <w:r>
        <w:rPr>
          <w:rFonts w:ascii="Times New Roman" w:hAnsi="Times New Roman" w:eastAsia="方正小标宋_GBK"/>
          <w:b w:val="0"/>
          <w:sz w:val="44"/>
          <w:szCs w:val="44"/>
        </w:rPr>
        <w:t>建设工程招标投标项目档案</w:t>
      </w:r>
    </w:p>
    <w:p>
      <w:pPr>
        <w:pStyle w:val="4"/>
        <w:spacing w:line="578" w:lineRule="exact"/>
        <w:jc w:val="center"/>
        <w:rPr>
          <w:rFonts w:ascii="Times New Roman" w:hAnsi="Times New Roman" w:eastAsia="方正小标宋_GBK"/>
          <w:b w:val="0"/>
          <w:color w:val="F79646" w:themeColor="accent6"/>
          <w:sz w:val="44"/>
          <w:szCs w:val="44"/>
          <w14:textFill>
            <w14:solidFill>
              <w14:schemeClr w14:val="accent6"/>
            </w14:solidFill>
          </w14:textFill>
        </w:rPr>
      </w:pPr>
      <w:r>
        <w:rPr>
          <w:rFonts w:ascii="Times New Roman" w:hAnsi="Times New Roman" w:eastAsia="方正小标宋_GBK"/>
          <w:b w:val="0"/>
          <w:sz w:val="44"/>
          <w:szCs w:val="44"/>
        </w:rPr>
        <w:t>招标人归档要求</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黑体" w:cs="Times New Roman"/>
          <w:bCs/>
          <w:color w:val="333333"/>
          <w:sz w:val="32"/>
          <w:szCs w:val="32"/>
          <w:shd w:val="clear" w:color="auto" w:fill="FFFFFF"/>
        </w:rPr>
      </w:pPr>
      <w:r>
        <w:rPr>
          <w:rFonts w:ascii="Times New Roman" w:hAnsi="Times New Roman" w:eastAsia="黑体" w:cs="Times New Roman"/>
          <w:bCs/>
          <w:color w:val="333333"/>
          <w:sz w:val="32"/>
          <w:szCs w:val="32"/>
          <w:shd w:val="clear" w:color="auto" w:fill="FFFFFF"/>
        </w:rPr>
        <w:t>一、档案内容</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招标人应当按照法律、法规、国家和省有关规定妥善保存招标投标项目的档案，并应包括但不限于以下内容：</w:t>
      </w:r>
    </w:p>
    <w:p>
      <w:pPr>
        <w:pStyle w:val="20"/>
        <w:widowControl w:val="0"/>
        <w:numPr>
          <w:ilvl w:val="0"/>
          <w:numId w:val="4"/>
        </w:numPr>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工程建设项目发包初步方案及其附件，附件包括：</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1．工程建设项目审批、核准或者备案文件的复印件；</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2．邀请招标或直接发包的证明材料；</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3．满足招标条件的其他材料的复印件。</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（二）招标代理委托合同和招标代理项目组组成人员情况表。</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（三）招标公告、资格预审公告或投标邀请书（如有）。</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（四）资格预审文件及其澄清或者修改文件（如有）。</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（五）资格预审结果公告、中标人资格预审申请文件（如有）。</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（六）资格预审合格通知书、资格预审结果通知书 （如有）。</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（七）资格审查情况报告。</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（八）招标文件以及其澄清或者修改文件（如有）。</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（九）开标记录。</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（十）评标（定标，如有）报告。</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（十一）招标投标情况的书面报告。</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（十二）评标（定标，如有）结果公示表。</w:t>
      </w:r>
    </w:p>
    <w:p>
      <w:pPr>
        <w:pStyle w:val="20"/>
        <w:widowControl w:val="0"/>
        <w:shd w:val="clear" w:color="auto" w:fill="FFFFFF"/>
        <w:spacing w:before="0" w:beforeAutospacing="0" w:after="0" w:afterAutospacing="0" w:line="579" w:lineRule="exact"/>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 xml:space="preserve">    （十三）中标通知书。</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（十四）工程招标代理评价意见表。</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（十五）中标人的投标文件副本。</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（十六）异议、异议处理和答复材料（如有）。</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（十七）交易成交证明书。</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（十八）合同。</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（十九）需要存档的其他材料。</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黑体" w:cs="Times New Roman"/>
          <w:bCs/>
          <w:color w:val="333333"/>
          <w:sz w:val="32"/>
          <w:szCs w:val="32"/>
          <w:shd w:val="clear" w:color="auto" w:fill="FFFFFF"/>
        </w:rPr>
      </w:pPr>
      <w:r>
        <w:rPr>
          <w:rFonts w:ascii="Times New Roman" w:hAnsi="Times New Roman" w:eastAsia="黑体" w:cs="Times New Roman"/>
          <w:bCs/>
          <w:color w:val="333333"/>
          <w:sz w:val="32"/>
          <w:szCs w:val="32"/>
          <w:shd w:val="clear" w:color="auto" w:fill="FFFFFF"/>
        </w:rPr>
        <w:t>二、其他要求</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（一）招标人需明确专人负责招标投标资料的收集、整理、装订、保管工作。</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bCs/>
          <w:color w:val="333333"/>
          <w:sz w:val="32"/>
          <w:szCs w:val="32"/>
          <w:shd w:val="clear" w:color="auto" w:fill="FFFFFF"/>
        </w:rPr>
      </w:pPr>
      <w:r>
        <w:rPr>
          <w:rFonts w:ascii="Times New Roman" w:hAnsi="Times New Roman" w:eastAsia="方正仿宋_GBK" w:cs="Times New Roman"/>
          <w:bCs/>
          <w:color w:val="333333"/>
          <w:sz w:val="32"/>
          <w:szCs w:val="32"/>
          <w:shd w:val="clear" w:color="auto" w:fill="FFFFFF"/>
        </w:rPr>
        <w:t>（二）符合档案管理要求的电子档案与纸质档案具有同等效力。</w:t>
      </w:r>
    </w:p>
    <w:p>
      <w:pPr>
        <w:pStyle w:val="20"/>
        <w:widowControl w:val="0"/>
        <w:shd w:val="clear" w:color="auto" w:fill="FFFFFF"/>
        <w:spacing w:before="0" w:beforeAutospacing="0" w:after="0" w:afterAutospacing="0"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color w:val="333333"/>
          <w:sz w:val="32"/>
          <w:szCs w:val="32"/>
          <w:shd w:val="clear" w:color="auto" w:fill="FFFFFF"/>
        </w:rPr>
        <w:t>（三）依法必须进行招标的项目的档案保存时间不得少于十五年。任何单位和个人不得伪造、隐匿或者损毁招标项目档案。</w:t>
      </w:r>
    </w:p>
    <w:p>
      <w:pPr>
        <w:pStyle w:val="20"/>
        <w:shd w:val="clear" w:color="auto" w:fill="FFFFFF"/>
        <w:spacing w:line="578" w:lineRule="exact"/>
        <w:rPr>
          <w:rFonts w:ascii="Times New Roman" w:hAnsi="Times New Roman" w:eastAsia="方正楷体_GBK" w:cs="Times New Roman"/>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280" w:lineRule="exact"/>
        <w:ind w:firstLine="5120" w:firstLineChars="1600"/>
        <w:rPr>
          <w:rFonts w:eastAsia="仿宋_GB2312"/>
          <w:sz w:val="32"/>
          <w:szCs w:val="32"/>
        </w:rPr>
      </w:pPr>
    </w:p>
    <w:p>
      <w:pPr>
        <w:widowControl/>
        <w:shd w:val="clear" w:color="auto" w:fill="FFFFFF"/>
        <w:spacing w:line="578" w:lineRule="exact"/>
        <w:ind w:firstLine="5120" w:firstLineChars="1600"/>
        <w:rPr>
          <w:rFonts w:eastAsia="仿宋_GB2312"/>
          <w:sz w:val="32"/>
          <w:szCs w:val="32"/>
        </w:rPr>
      </w:pPr>
    </w:p>
    <w:p>
      <w:pPr>
        <w:widowControl/>
        <w:shd w:val="clear" w:color="auto" w:fill="FFFFFF"/>
        <w:spacing w:line="578" w:lineRule="exact"/>
        <w:ind w:firstLine="5120" w:firstLineChars="1600"/>
        <w:rPr>
          <w:rFonts w:eastAsia="方正仿宋_GBK"/>
          <w:sz w:val="32"/>
          <w:szCs w:val="32"/>
        </w:rPr>
      </w:pPr>
    </w:p>
    <w:p>
      <w:pPr>
        <w:widowControl/>
        <w:shd w:val="clear" w:color="auto" w:fill="FFFFFF"/>
        <w:spacing w:line="578" w:lineRule="exact"/>
        <w:ind w:firstLine="5120" w:firstLineChars="1600"/>
        <w:rPr>
          <w:rFonts w:eastAsia="方正仿宋_GBK"/>
          <w:sz w:val="32"/>
          <w:szCs w:val="32"/>
        </w:rPr>
      </w:pPr>
    </w:p>
    <w:p>
      <w:pPr>
        <w:widowControl/>
        <w:shd w:val="clear" w:color="auto" w:fill="FFFFFF"/>
        <w:spacing w:line="578" w:lineRule="exact"/>
        <w:ind w:firstLine="5120" w:firstLineChars="1600"/>
        <w:rPr>
          <w:rFonts w:eastAsia="方正仿宋_GBK"/>
          <w:sz w:val="32"/>
          <w:szCs w:val="32"/>
        </w:rPr>
      </w:pPr>
    </w:p>
    <w:p>
      <w:pPr>
        <w:widowControl/>
        <w:shd w:val="clear" w:color="auto" w:fill="FFFFFF"/>
        <w:spacing w:line="578" w:lineRule="exact"/>
        <w:ind w:firstLine="5120" w:firstLineChars="1600"/>
        <w:rPr>
          <w:rFonts w:eastAsia="方正仿宋_GBK"/>
          <w:sz w:val="32"/>
          <w:szCs w:val="32"/>
        </w:rPr>
      </w:pPr>
    </w:p>
    <w:p>
      <w:pPr>
        <w:widowControl/>
        <w:shd w:val="clear" w:color="auto" w:fill="FFFFFF"/>
        <w:spacing w:line="578" w:lineRule="exact"/>
        <w:ind w:firstLine="5120" w:firstLineChars="1600"/>
        <w:rPr>
          <w:rFonts w:eastAsia="方正仿宋_GBK"/>
          <w:sz w:val="32"/>
          <w:szCs w:val="32"/>
        </w:rPr>
      </w:pPr>
    </w:p>
    <w:tbl>
      <w:tblPr>
        <w:tblStyle w:val="23"/>
        <w:tblpPr w:leftFromText="180" w:rightFromText="180" w:vertAnchor="text" w:horzAnchor="margin" w:tblpY="3731"/>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530"/>
        <w:gridCol w:w="453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4530" w:type="dxa"/>
            <w:tcBorders>
              <w:tl2br w:val="nil"/>
              <w:tr2bl w:val="nil"/>
            </w:tcBorders>
          </w:tcPr>
          <w:p>
            <w:pPr>
              <w:pStyle w:val="17"/>
              <w:ind w:firstLine="140" w:firstLineChars="50"/>
              <w:rPr>
                <w:rFonts w:eastAsia="仿宋_GB2312"/>
              </w:rPr>
            </w:pPr>
            <w:r>
              <w:rPr>
                <w:rFonts w:eastAsia="仿宋_GB2312"/>
                <w:sz w:val="28"/>
                <w:szCs w:val="28"/>
              </w:rPr>
              <w:t>盐城市住房和城乡建设局办公室</w:t>
            </w:r>
          </w:p>
        </w:tc>
        <w:tc>
          <w:tcPr>
            <w:tcW w:w="4530" w:type="dxa"/>
            <w:tcBorders>
              <w:tl2br w:val="nil"/>
              <w:tr2bl w:val="nil"/>
            </w:tcBorders>
          </w:tcPr>
          <w:p>
            <w:pPr>
              <w:pStyle w:val="17"/>
              <w:ind w:right="140" w:firstLine="560"/>
              <w:jc w:val="right"/>
              <w:rPr>
                <w:rFonts w:eastAsia="仿宋_GB2312"/>
              </w:rPr>
            </w:pPr>
            <w:r>
              <w:rPr>
                <w:rFonts w:eastAsia="仿宋_GB2312"/>
                <w:sz w:val="28"/>
                <w:szCs w:val="28"/>
              </w:rPr>
              <w:t>2024年1月17日印发</w:t>
            </w:r>
          </w:p>
        </w:tc>
      </w:tr>
    </w:tbl>
    <w:p>
      <w:pPr>
        <w:widowControl/>
        <w:shd w:val="clear" w:color="auto" w:fill="FFFFFF"/>
        <w:spacing w:line="578" w:lineRule="exact"/>
        <w:rPr>
          <w:rFonts w:eastAsia="方正黑体_GBK"/>
          <w:sz w:val="32"/>
        </w:rPr>
        <w:sectPr>
          <w:footerReference r:id="rId9" w:type="default"/>
          <w:headerReference r:id="rId8" w:type="even"/>
          <w:footerReference r:id="rId10" w:type="even"/>
          <w:pgSz w:w="11906" w:h="16838"/>
          <w:pgMar w:top="2098" w:right="1474" w:bottom="1985" w:left="1588" w:header="851" w:footer="1418" w:gutter="0"/>
          <w:cols w:space="425" w:num="1"/>
          <w:docGrid w:linePitch="312" w:charSpace="0"/>
        </w:sectPr>
      </w:pPr>
      <w:r>
        <w:rPr>
          <w:rFonts w:eastAsia="方正黑体_GBK"/>
          <w:sz w:val="32"/>
        </w:rPr>
        <mc:AlternateContent>
          <mc:Choice Requires="wps">
            <w:drawing>
              <wp:anchor distT="0" distB="0" distL="114300" distR="114300" simplePos="0" relativeHeight="251661312" behindDoc="0" locked="0" layoutInCell="1" allowOverlap="1">
                <wp:simplePos x="0" y="0"/>
                <wp:positionH relativeFrom="column">
                  <wp:posOffset>3072130</wp:posOffset>
                </wp:positionH>
                <wp:positionV relativeFrom="paragraph">
                  <wp:posOffset>3002915</wp:posOffset>
                </wp:positionV>
                <wp:extent cx="784860" cy="305435"/>
                <wp:effectExtent l="0" t="0" r="0" b="0"/>
                <wp:wrapNone/>
                <wp:docPr id="9" name="矩形 9"/>
                <wp:cNvGraphicFramePr/>
                <a:graphic xmlns:a="http://schemas.openxmlformats.org/drawingml/2006/main">
                  <a:graphicData uri="http://schemas.microsoft.com/office/word/2010/wordprocessingShape">
                    <wps:wsp>
                      <wps:cNvSpPr/>
                      <wps:spPr>
                        <a:xfrm>
                          <a:off x="0" y="0"/>
                          <a:ext cx="784860" cy="3054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1.9pt;margin-top:236.45pt;height:24.05pt;width:61.8pt;z-index:251661312;v-text-anchor:middle;mso-width-relative:page;mso-height-relative:page;" fillcolor="#FFFFFF [3212]" filled="t" stroked="f" coordsize="21600,21600" o:gfxdata="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dq&#10;vSnXAAAACwEAAA8AAAAAAAAAAQAgAAAAIgAAAGRycy9kb3ducmV2LnhtbFBLAQIUABQAAAAIAIdO&#10;4kALIfxPXQIAALMEAAAOAAAAAAAAAAEAIAAAACYBAABkcnMvZTJvRG9jLnhtbFBLBQYAAAAABgAG&#10;AFkBAAD1BQAAAAA=&#10;">
                <v:fill on="t" focussize="0,0"/>
                <v:stroke on="f" weight="2pt"/>
                <v:imagedata o:title=""/>
                <o:lock v:ext="edit" aspectratio="f"/>
              </v:rect>
            </w:pict>
          </mc:Fallback>
        </mc:AlternateContent>
      </w:r>
      <w:r>
        <w:rPr>
          <w:rFonts w:eastAsia="方正黑体_GBK"/>
          <w:sz w:val="32"/>
        </w:rPr>
        <mc:AlternateContent>
          <mc:Choice Requires="wps">
            <w:drawing>
              <wp:anchor distT="0" distB="0" distL="114300" distR="114300" simplePos="0" relativeHeight="251663360" behindDoc="0" locked="0" layoutInCell="1" allowOverlap="1">
                <wp:simplePos x="0" y="0"/>
                <wp:positionH relativeFrom="column">
                  <wp:posOffset>1606550</wp:posOffset>
                </wp:positionH>
                <wp:positionV relativeFrom="paragraph">
                  <wp:posOffset>2683510</wp:posOffset>
                </wp:positionV>
                <wp:extent cx="739140" cy="421005"/>
                <wp:effectExtent l="0" t="0" r="3810" b="0"/>
                <wp:wrapNone/>
                <wp:docPr id="11" name="矩形 11"/>
                <wp:cNvGraphicFramePr/>
                <a:graphic xmlns:a="http://schemas.openxmlformats.org/drawingml/2006/main">
                  <a:graphicData uri="http://schemas.microsoft.com/office/word/2010/wordprocessingShape">
                    <wps:wsp>
                      <wps:cNvSpPr/>
                      <wps:spPr>
                        <a:xfrm>
                          <a:off x="0" y="0"/>
                          <a:ext cx="739140" cy="4210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6.5pt;margin-top:211.3pt;height:33.15pt;width:58.2pt;z-index:251663360;v-text-anchor:middle;mso-width-relative:page;mso-height-relative:page;" fillcolor="#FFFFFF [3212]" filled="t" stroked="f" coordsize="21600,21600" o:gfxdata="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mEhz3X&#10;AAAACwEAAA8AAAAAAAAAAQAgAAAAIgAAAGRycy9kb3ducmV2LnhtbFBLAQIUABQAAAAIAIdO4kAo&#10;tqkFWgIAALUEAAAOAAAAAAAAAAEAIAAAACYBAABkcnMvZTJvRG9jLnhtbFBLBQYAAAAABgAGAFkB&#10;AADyBQAAAAA=&#10;">
                <v:fill on="t" focussize="0,0"/>
                <v:stroke on="f" weight="2pt"/>
                <v:imagedata o:title=""/>
                <o:lock v:ext="edit" aspectratio="f"/>
              </v:rect>
            </w:pict>
          </mc:Fallback>
        </mc:AlternateContent>
      </w:r>
      <w:r>
        <w:rPr>
          <w:rFonts w:eastAsia="方正仿宋_GBK"/>
          <w:sz w:val="32"/>
          <w:szCs w:val="32"/>
        </w:rPr>
        <mc:AlternateContent>
          <mc:Choice Requires="wps">
            <w:drawing>
              <wp:anchor distT="0" distB="0" distL="114300" distR="114300" simplePos="0" relativeHeight="251668480" behindDoc="0" locked="0" layoutInCell="1" allowOverlap="1">
                <wp:simplePos x="0" y="0"/>
                <wp:positionH relativeFrom="column">
                  <wp:posOffset>4457700</wp:posOffset>
                </wp:positionH>
                <wp:positionV relativeFrom="paragraph">
                  <wp:posOffset>989330</wp:posOffset>
                </wp:positionV>
                <wp:extent cx="1422400" cy="365760"/>
                <wp:effectExtent l="0" t="0" r="6350" b="0"/>
                <wp:wrapNone/>
                <wp:docPr id="16" name="矩形 16"/>
                <wp:cNvGraphicFramePr/>
                <a:graphic xmlns:a="http://schemas.openxmlformats.org/drawingml/2006/main">
                  <a:graphicData uri="http://schemas.microsoft.com/office/word/2010/wordprocessingShape">
                    <wps:wsp>
                      <wps:cNvSpPr/>
                      <wps:spPr>
                        <a:xfrm>
                          <a:off x="0" y="0"/>
                          <a:ext cx="1422400" cy="365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1pt;margin-top:77.9pt;height:28.8pt;width:112pt;z-index:251668480;v-text-anchor:middle;mso-width-relative:page;mso-height-relative:page;" fillcolor="#FFFFFF [3212]" filled="t" stroked="f" coordsize="21600,21600" o:gfxdata="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nqK&#10;f9YAAAALAQAADwAAAAAAAAABACAAAAAiAAAAZHJzL2Rvd25yZXYueG1sUEsBAhQAFAAAAAgAh07i&#10;QMuTugxdAgAAtgQAAA4AAAAAAAAAAQAgAAAAJQEAAGRycy9lMm9Eb2MueG1sUEsFBgAAAAAGAAYA&#10;WQEAAPQFAAAAAA==&#10;">
                <v:fill on="t" focussize="0,0"/>
                <v:stroke on="f" weight="2pt"/>
                <v:imagedata o:title=""/>
                <o:lock v:ext="edit" aspectratio="f"/>
              </v:rect>
            </w:pict>
          </mc:Fallback>
        </mc:AlternateContent>
      </w:r>
      <w:r>
        <w:rPr>
          <w:rFonts w:eastAsia="方正黑体_GBK"/>
          <w:sz w:val="32"/>
        </w:rPr>
        <mc:AlternateContent>
          <mc:Choice Requires="wps">
            <w:drawing>
              <wp:anchor distT="0" distB="0" distL="114300" distR="114300" simplePos="0" relativeHeight="251670528" behindDoc="0" locked="0" layoutInCell="1" allowOverlap="1">
                <wp:simplePos x="0" y="0"/>
                <wp:positionH relativeFrom="column">
                  <wp:posOffset>129540</wp:posOffset>
                </wp:positionH>
                <wp:positionV relativeFrom="paragraph">
                  <wp:posOffset>7861300</wp:posOffset>
                </wp:positionV>
                <wp:extent cx="789940" cy="325120"/>
                <wp:effectExtent l="0" t="0" r="0" b="0"/>
                <wp:wrapNone/>
                <wp:docPr id="18" name="矩形 18"/>
                <wp:cNvGraphicFramePr/>
                <a:graphic xmlns:a="http://schemas.openxmlformats.org/drawingml/2006/main">
                  <a:graphicData uri="http://schemas.microsoft.com/office/word/2010/wordprocessingShape">
                    <wps:wsp>
                      <wps:cNvSpPr/>
                      <wps:spPr>
                        <a:xfrm>
                          <a:off x="0" y="0"/>
                          <a:ext cx="789940" cy="325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2pt;margin-top:619pt;height:25.6pt;width:62.2pt;z-index:251670528;v-text-anchor:middle;mso-width-relative:page;mso-height-relative:page;" fillcolor="#FFFFFF [3212]" filled="t" stroked="f" coordsize="21600,21600" o:gfxdata="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tjHN+&#10;1QAAAAwBAAAPAAAAAAAAAAEAIAAAACIAAABkcnMvZG93bnJldi54bWxQSwECFAAUAAAACACHTuJA&#10;IwaIJF0CAAC1BAAADgAAAAAAAAABACAAAAAkAQAAZHJzL2Uyb0RvYy54bWxQSwUGAAAAAAYABgBZ&#10;AQAA8wUAAAAA&#10;">
                <v:fill on="t" focussize="0,0"/>
                <v:stroke on="f" weight="2pt"/>
                <v:imagedata o:title=""/>
                <o:lock v:ext="edit" aspectratio="f"/>
              </v:rect>
            </w:pict>
          </mc:Fallback>
        </mc:AlternateContent>
      </w:r>
      <w:r>
        <w:rPr>
          <w:rFonts w:eastAsia="方正黑体_GBK"/>
          <w:sz w:val="32"/>
        </w:rPr>
        <mc:AlternateContent>
          <mc:Choice Requires="wps">
            <w:drawing>
              <wp:anchor distT="0" distB="0" distL="114300" distR="114300" simplePos="0" relativeHeight="251667456" behindDoc="0" locked="0" layoutInCell="1" allowOverlap="1">
                <wp:simplePos x="0" y="0"/>
                <wp:positionH relativeFrom="column">
                  <wp:posOffset>130175</wp:posOffset>
                </wp:positionH>
                <wp:positionV relativeFrom="paragraph">
                  <wp:posOffset>8188960</wp:posOffset>
                </wp:positionV>
                <wp:extent cx="739140" cy="386080"/>
                <wp:effectExtent l="0" t="0" r="3810" b="0"/>
                <wp:wrapNone/>
                <wp:docPr id="15" name="矩形 15"/>
                <wp:cNvGraphicFramePr/>
                <a:graphic xmlns:a="http://schemas.openxmlformats.org/drawingml/2006/main">
                  <a:graphicData uri="http://schemas.microsoft.com/office/word/2010/wordprocessingShape">
                    <wps:wsp>
                      <wps:cNvSpPr/>
                      <wps:spPr>
                        <a:xfrm>
                          <a:off x="0" y="0"/>
                          <a:ext cx="739140" cy="386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25pt;margin-top:644.8pt;height:30.4pt;width:58.2pt;z-index:251667456;v-text-anchor:middle;mso-width-relative:page;mso-height-relative:page;" fillcolor="#FFFFFF [3212]" filled="t" stroked="f" coordsize="21600,21600" o:gfxdata="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W07wv&#10;1gAAAAwBAAAPAAAAAAAAAAEAIAAAACIAAABkcnMvZG93bnJldi54bWxQSwECFAAUAAAACACHTuJA&#10;fAtw3lwCAAC1BAAADgAAAAAAAAABACAAAAAlAQAAZHJzL2Uyb0RvYy54bWxQSwUGAAAAAAYABgBZ&#10;AQAA8wUAAAAA&#10;">
                <v:fill on="t" focussize="0,0"/>
                <v:stroke on="f" weight="2pt"/>
                <v:imagedata o:title=""/>
                <o:lock v:ext="edit" aspectratio="f"/>
              </v:rect>
            </w:pict>
          </mc:Fallback>
        </mc:AlternateContent>
      </w:r>
      <w:r>
        <w:rPr>
          <w:rFonts w:eastAsia="方正黑体_GBK"/>
          <w:sz w:val="32"/>
        </w:rPr>
        <mc:AlternateContent>
          <mc:Choice Requires="wps">
            <w:drawing>
              <wp:anchor distT="0" distB="0" distL="114300" distR="114300" simplePos="0" relativeHeight="251665408" behindDoc="0" locked="0" layoutInCell="1" allowOverlap="1">
                <wp:simplePos x="0" y="0"/>
                <wp:positionH relativeFrom="column">
                  <wp:posOffset>4610100</wp:posOffset>
                </wp:positionH>
                <wp:positionV relativeFrom="paragraph">
                  <wp:posOffset>8348980</wp:posOffset>
                </wp:positionV>
                <wp:extent cx="982980" cy="548640"/>
                <wp:effectExtent l="0" t="0" r="7620" b="3810"/>
                <wp:wrapNone/>
                <wp:docPr id="13" name="矩形 13"/>
                <wp:cNvGraphicFramePr/>
                <a:graphic xmlns:a="http://schemas.openxmlformats.org/drawingml/2006/main">
                  <a:graphicData uri="http://schemas.microsoft.com/office/word/2010/wordprocessingShape">
                    <wps:wsp>
                      <wps:cNvSpPr/>
                      <wps:spPr>
                        <a:xfrm>
                          <a:off x="0" y="0"/>
                          <a:ext cx="982980" cy="5486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3pt;margin-top:657.4pt;height:43.2pt;width:77.4pt;z-index:251665408;v-text-anchor:middle;mso-width-relative:page;mso-height-relative:page;" fillcolor="#FFFFFF [3212]" filled="t" stroked="f" coordsize="21600,21600" o:gfxdata="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4&#10;Jaur1wAAAA0BAAAPAAAAAAAAAAEAIAAAACIAAABkcnMvZG93bnJldi54bWxQSwECFAAUAAAACACH&#10;TuJA2iAkCl4CAAC1BAAADgAAAAAAAAABACAAAAAmAQAAZHJzL2Uyb0RvYy54bWxQSwUGAAAAAAYA&#10;BgBZAQAA9gUAAAAA&#10;">
                <v:fill on="t" focussize="0,0"/>
                <v:stroke on="f" weight="2pt"/>
                <v:imagedata o:title=""/>
                <o:lock v:ext="edit" aspectratio="f"/>
              </v:rect>
            </w:pict>
          </mc:Fallback>
        </mc:AlternateContent>
      </w:r>
      <w:r>
        <w:rPr>
          <w:rFonts w:eastAsia="方正黑体_GBK"/>
          <w:sz w:val="32"/>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6729730</wp:posOffset>
                </wp:positionV>
                <wp:extent cx="1107440" cy="467360"/>
                <wp:effectExtent l="0" t="0" r="0" b="8890"/>
                <wp:wrapNone/>
                <wp:docPr id="14" name="矩形 14"/>
                <wp:cNvGraphicFramePr/>
                <a:graphic xmlns:a="http://schemas.openxmlformats.org/drawingml/2006/main">
                  <a:graphicData uri="http://schemas.microsoft.com/office/word/2010/wordprocessingShape">
                    <wps:wsp>
                      <wps:cNvSpPr/>
                      <wps:spPr>
                        <a:xfrm>
                          <a:off x="0" y="0"/>
                          <a:ext cx="1107440" cy="467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pt;margin-top:529.9pt;height:36.8pt;width:87.2pt;z-index:251666432;v-text-anchor:middle;mso-width-relative:page;mso-height-relative:page;" fillcolor="#FFFFFF [3212]" filled="t" stroked="f" coordsize="21600,21600" o:gfxdata="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2R4f&#10;ZtYAAAALAQAADwAAAAAAAAABACAAAAAiAAAAZHJzL2Rvd25yZXYueG1sUEsBAhQAFAAAAAgAh07i&#10;QDi/fWpdAgAAtgQAAA4AAAAAAAAAAQAgAAAAJQEAAGRycy9lMm9Eb2MueG1sUEsFBgAAAAAGAAYA&#10;WQEAAPQFAAAAAA==&#10;">
                <v:fill on="t" focussize="0,0"/>
                <v:stroke on="f" weight="2pt"/>
                <v:imagedata o:title=""/>
                <o:lock v:ext="edit" aspectratio="f"/>
              </v:rect>
            </w:pict>
          </mc:Fallback>
        </mc:AlternateContent>
      </w:r>
      <w:r>
        <w:rPr>
          <w:rFonts w:eastAsia="方正黑体_GBK"/>
          <w:sz w:val="32"/>
        </w:rPr>
        <mc:AlternateContent>
          <mc:Choice Requires="wps">
            <w:drawing>
              <wp:anchor distT="0" distB="0" distL="114300" distR="114300" simplePos="0" relativeHeight="251662336" behindDoc="0" locked="0" layoutInCell="1" allowOverlap="1">
                <wp:simplePos x="0" y="0"/>
                <wp:positionH relativeFrom="column">
                  <wp:posOffset>4668520</wp:posOffset>
                </wp:positionH>
                <wp:positionV relativeFrom="paragraph">
                  <wp:posOffset>8256905</wp:posOffset>
                </wp:positionV>
                <wp:extent cx="922655" cy="318135"/>
                <wp:effectExtent l="0" t="0" r="0" b="6350"/>
                <wp:wrapNone/>
                <wp:docPr id="10" name="矩形 10"/>
                <wp:cNvGraphicFramePr/>
                <a:graphic xmlns:a="http://schemas.openxmlformats.org/drawingml/2006/main">
                  <a:graphicData uri="http://schemas.microsoft.com/office/word/2010/wordprocessingShape">
                    <wps:wsp>
                      <wps:cNvSpPr/>
                      <wps:spPr>
                        <a:xfrm>
                          <a:off x="0" y="0"/>
                          <a:ext cx="922352"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7.6pt;margin-top:650.15pt;height:25.05pt;width:72.65pt;z-index:251662336;v-text-anchor:middle;mso-width-relative:page;mso-height-relative:page;" fillcolor="#FFFFFF [3212]" filled="t" stroked="f" coordsize="21600,21600" o:gfxdata="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El&#10;DCDXAAAADQEAAA8AAAAAAAAAAQAgAAAAIgAAAGRycy9kb3ducmV2LnhtbFBLAQIUABQAAAAIAIdO&#10;4kAnvqTXXQIAALUEAAAOAAAAAAAAAAEAIAAAACYBAABkcnMvZTJvRG9jLnhtbFBLBQYAAAAABgAG&#10;AFkBAAD1BQAAAAA=&#10;">
                <v:fill on="t" focussize="0,0"/>
                <v:stroke on="f" weight="2pt"/>
                <v:imagedata o:title=""/>
                <o:lock v:ext="edit" aspectratio="f"/>
              </v:rect>
            </w:pict>
          </mc:Fallback>
        </mc:AlternateContent>
      </w:r>
    </w:p>
    <w:p>
      <w:pPr>
        <w:rPr>
          <w:rFonts w:eastAsia="方正黑体_GBK"/>
          <w:sz w:val="32"/>
        </w:rPr>
        <w:sectPr>
          <w:headerReference r:id="rId11" w:type="default"/>
          <w:footerReference r:id="rId13" w:type="default"/>
          <w:headerReference r:id="rId12" w:type="even"/>
          <w:footerReference r:id="rId14" w:type="even"/>
          <w:pgSz w:w="16839" w:h="11907" w:orient="landscape"/>
          <w:pgMar w:top="1588" w:right="1474" w:bottom="1474" w:left="1985" w:header="851" w:footer="1020" w:gutter="0"/>
          <w:cols w:space="425" w:num="1"/>
          <w:docGrid w:linePitch="312" w:charSpace="0"/>
        </w:sectPr>
      </w:pPr>
    </w:p>
    <w:bookmarkEnd w:id="0"/>
    <w:p>
      <w:pPr>
        <w:pStyle w:val="17"/>
        <w:rPr>
          <w:sz w:val="32"/>
          <w:szCs w:val="32"/>
        </w:rPr>
        <w:sectPr>
          <w:headerReference r:id="rId15" w:type="default"/>
          <w:footerReference r:id="rId16" w:type="default"/>
          <w:pgSz w:w="11907" w:h="16839"/>
          <w:pgMar w:top="1474" w:right="1474" w:bottom="1985" w:left="1588" w:header="851" w:footer="1020" w:gutter="0"/>
          <w:cols w:space="425" w:num="1"/>
          <w:docGrid w:linePitch="312" w:charSpace="0"/>
        </w:sectPr>
      </w:pPr>
      <w:r>
        <w:rPr>
          <w:sz w:val="32"/>
          <w:szCs w:val="32"/>
        </w:rPr>
        <mc:AlternateContent>
          <mc:Choice Requires="wps">
            <w:drawing>
              <wp:anchor distT="0" distB="0" distL="114300" distR="114300" simplePos="0" relativeHeight="251669504" behindDoc="0" locked="0" layoutInCell="1" allowOverlap="1">
                <wp:simplePos x="0" y="0"/>
                <wp:positionH relativeFrom="column">
                  <wp:posOffset>-541020</wp:posOffset>
                </wp:positionH>
                <wp:positionV relativeFrom="paragraph">
                  <wp:posOffset>161290</wp:posOffset>
                </wp:positionV>
                <wp:extent cx="416560" cy="1127760"/>
                <wp:effectExtent l="0" t="0" r="2540" b="0"/>
                <wp:wrapNone/>
                <wp:docPr id="17" name="矩形 17"/>
                <wp:cNvGraphicFramePr/>
                <a:graphic xmlns:a="http://schemas.openxmlformats.org/drawingml/2006/main">
                  <a:graphicData uri="http://schemas.microsoft.com/office/word/2010/wordprocessingShape">
                    <wps:wsp>
                      <wps:cNvSpPr/>
                      <wps:spPr>
                        <a:xfrm>
                          <a:off x="0" y="0"/>
                          <a:ext cx="416560" cy="1127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6pt;margin-top:12.7pt;height:88.8pt;width:32.8pt;z-index:251669504;v-text-anchor:middle;mso-width-relative:page;mso-height-relative:page;" fillcolor="#FFFFFF [3212]" filled="t" stroked="f" coordsize="21600,21600" o:gfxdata="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Jde&#10;KNYAAAAKAQAADwAAAAAAAAABACAAAAAiAAAAZHJzL2Rvd25yZXYueG1sUEsBAhQAFAAAAAgAh07i&#10;QEFJxTpdAgAAtgQAAA4AAAAAAAAAAQAgAAAAJQEAAGRycy9lMm9Eb2MueG1sUEsFBgAAAAAGAAYA&#10;WQEAAPQFAAAAAA==&#10;">
                <v:fill on="t" focussize="0,0"/>
                <v:stroke on="f" weight="2pt"/>
                <v:imagedata o:title=""/>
                <o:lock v:ext="edit" aspectratio="f"/>
              </v:rect>
            </w:pict>
          </mc:Fallback>
        </mc:AlternateContent>
      </w:r>
    </w:p>
    <w:p>
      <w:pPr>
        <w:spacing w:line="560" w:lineRule="exact"/>
        <w:ind w:right="11"/>
      </w:pPr>
    </w:p>
    <w:sectPr>
      <w:footerReference r:id="rId18" w:type="default"/>
      <w:headerReference r:id="rId17" w:type="even"/>
      <w:pgSz w:w="11907" w:h="16839"/>
      <w:pgMar w:top="1474" w:right="1474" w:bottom="1985" w:left="1588" w:header="851" w:footer="992"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7560" w:firstLineChars="2700"/>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29</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280" w:firstLineChars="100"/>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28</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6496"/>
        <w:tab w:val="clear" w:pos="4153"/>
        <w:tab w:val="clear" w:pos="8306"/>
      </w:tabs>
      <w:ind w:right="360" w:firstLine="360"/>
    </w:pPr>
    <w:r>
      <mc:AlternateContent>
        <mc:Choice Requires="wps">
          <w:drawing>
            <wp:anchor distT="0" distB="0" distL="114300" distR="114300" simplePos="0" relativeHeight="251659264" behindDoc="0" locked="0" layoutInCell="1" allowOverlap="1">
              <wp:simplePos x="0" y="0"/>
              <wp:positionH relativeFrom="margin">
                <wp:posOffset>4461510</wp:posOffset>
              </wp:positionH>
              <wp:positionV relativeFrom="paragraph">
                <wp:posOffset>635</wp:posOffset>
              </wp:positionV>
              <wp:extent cx="1184910" cy="230505"/>
              <wp:effectExtent l="0" t="0" r="0" b="10795"/>
              <wp:wrapNone/>
              <wp:docPr id="3" name="文本框 6"/>
              <wp:cNvGraphicFramePr/>
              <a:graphic xmlns:a="http://schemas.openxmlformats.org/drawingml/2006/main">
                <a:graphicData uri="http://schemas.microsoft.com/office/word/2010/wordprocessingShape">
                  <wps:wsp>
                    <wps:cNvSpPr txBox="1"/>
                    <wps:spPr>
                      <a:xfrm>
                        <a:off x="0" y="0"/>
                        <a:ext cx="118474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numPr>
                              <w:ilvl w:val="0"/>
                              <w:numId w:val="1"/>
                            </w:numPr>
                          </w:pPr>
                          <w:r>
                            <w:rPr>
                              <w:rFonts w:hint="eastAsia"/>
                              <w:color w:val="FFFFFF" w:themeColor="background1"/>
                              <w:sz w:val="28"/>
                              <w:szCs w:val="28"/>
                              <w14:textFill>
                                <w14:solidFill>
                                  <w14:schemeClr w14:val="bg1"/>
                                </w14:solidFill>
                              </w14:textFill>
                            </w:rPr>
                            <w:t xml:space="preserve"> </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37</w:t>
                          </w:r>
                          <w:r>
                            <w:rPr>
                              <w:sz w:val="28"/>
                              <w:szCs w:val="28"/>
                            </w:rPr>
                            <w:fldChar w:fldCharType="end"/>
                          </w:r>
                          <w:r>
                            <w:rPr>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文本框 6" o:spid="_x0000_s1026" o:spt="202" type="#_x0000_t202" style="position:absolute;left:0pt;margin-left:351.3pt;margin-top:0.05pt;height:18.15pt;width:93.3pt;mso-position-horizontal-relative:margin;z-index:251659264;mso-width-relative:page;mso-height-relative:page;" filled="f" stroked="f" coordsize="21600,21600" o:gfxdata="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phz8b1QAAAAcBAAAPAAAAAAAAAAEAIAAAACIAAABkcnMvZG93bnJldi54bWxQ&#10;SwECFAAUAAAACACHTuJApdLBtjMCAABWBAAADgAAAAAAAAABACAAAAAkAQAAZHJzL2Uyb0RvYy54&#10;bWxQSwUGAAAAAAYABgBZAQAAyQUAAAAA&#10;">
              <v:fill on="f" focussize="0,0"/>
              <v:stroke on="f" weight="0.5pt"/>
              <v:imagedata o:title=""/>
              <o:lock v:ext="edit" aspectratio="f"/>
              <v:textbox inset="0mm,0mm,0mm,0mm" style="mso-fit-shape-to-text:t;">
                <w:txbxContent>
                  <w:p>
                    <w:pPr>
                      <w:pStyle w:val="14"/>
                      <w:numPr>
                        <w:ilvl w:val="0"/>
                        <w:numId w:val="1"/>
                      </w:numPr>
                    </w:pPr>
                    <w:r>
                      <w:rPr>
                        <w:rFonts w:hint="eastAsia"/>
                        <w:color w:val="FFFFFF" w:themeColor="background1"/>
                        <w:sz w:val="28"/>
                        <w:szCs w:val="28"/>
                        <w14:textFill>
                          <w14:solidFill>
                            <w14:schemeClr w14:val="bg1"/>
                          </w14:solidFill>
                        </w14:textFill>
                      </w:rPr>
                      <w:t xml:space="preserve"> </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37</w:t>
                    </w:r>
                    <w:r>
                      <w:rPr>
                        <w:sz w:val="28"/>
                        <w:szCs w:val="28"/>
                      </w:rPr>
                      <w:fldChar w:fldCharType="end"/>
                    </w:r>
                    <w:r>
                      <w:rPr>
                        <w:sz w:val="28"/>
                        <w:szCs w:val="28"/>
                      </w:rPr>
                      <w:t xml:space="preserve"> —</w:t>
                    </w:r>
                  </w:p>
                </w:txbxContent>
              </v:textbox>
            </v:shape>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page" w:x="1951" w:y="-209"/>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38</w:t>
    </w:r>
    <w:r>
      <w:rPr>
        <w:sz w:val="28"/>
        <w:szCs w:val="28"/>
      </w:rPr>
      <w:fldChar w:fldCharType="end"/>
    </w:r>
    <w:r>
      <w:rPr>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2794"/>
        <w:tab w:val="clear" w:pos="4153"/>
        <w:tab w:val="clear" w:pos="8306"/>
      </w:tabs>
      <w:ind w:right="360" w:firstLine="360"/>
    </w:pPr>
    <w:r>
      <mc:AlternateContent>
        <mc:Choice Requires="wps">
          <w:drawing>
            <wp:anchor distT="0" distB="0" distL="114300" distR="114300" simplePos="0" relativeHeight="251660288" behindDoc="0" locked="0" layoutInCell="1" allowOverlap="1">
              <wp:simplePos x="0" y="0"/>
              <wp:positionH relativeFrom="leftMargin">
                <wp:align>right</wp:align>
              </wp:positionH>
              <wp:positionV relativeFrom="margin">
                <wp:align>bottom</wp:align>
              </wp:positionV>
              <wp:extent cx="669925" cy="1266190"/>
              <wp:effectExtent l="0" t="0" r="0" b="0"/>
              <wp:wrapNone/>
              <wp:docPr id="1" name="Text Box 6"/>
              <wp:cNvGraphicFramePr/>
              <a:graphic xmlns:a="http://schemas.openxmlformats.org/drawingml/2006/main">
                <a:graphicData uri="http://schemas.microsoft.com/office/word/2010/wordprocessingShape">
                  <wps:wsp>
                    <wps:cNvSpPr txBox="1">
                      <a:spLocks noChangeArrowheads="1"/>
                    </wps:cNvSpPr>
                    <wps:spPr bwMode="auto">
                      <a:xfrm>
                        <a:off x="0" y="0"/>
                        <a:ext cx="669925" cy="1266190"/>
                      </a:xfrm>
                      <a:prstGeom prst="rect">
                        <a:avLst/>
                      </a:prstGeom>
                      <a:noFill/>
                      <a:ln>
                        <a:noFill/>
                      </a:ln>
                    </wps:spPr>
                    <wps:txbx>
                      <w:txbxContent>
                        <w:p>
                          <w:pPr>
                            <w:jc w:val="right"/>
                            <w:rPr>
                              <w:rFonts w:eastAsiaTheme="minorEastAsia"/>
                              <w:sz w:val="28"/>
                              <w:szCs w:val="28"/>
                            </w:rPr>
                          </w:pPr>
                          <w:r>
                            <w:rPr>
                              <w:rFonts w:hint="eastAsia" w:eastAsiaTheme="minorEastAsia"/>
                              <w:sz w:val="28"/>
                              <w:szCs w:val="28"/>
                            </w:rPr>
                            <w:t xml:space="preserve">— </w:t>
                          </w:r>
                          <w:r>
                            <w:rPr>
                              <w:rFonts w:eastAsiaTheme="minorEastAsia"/>
                              <w:sz w:val="28"/>
                              <w:szCs w:val="28"/>
                            </w:rPr>
                            <w:fldChar w:fldCharType="begin"/>
                          </w:r>
                          <w:r>
                            <w:rPr>
                              <w:rFonts w:eastAsiaTheme="minorEastAsia"/>
                              <w:sz w:val="28"/>
                              <w:szCs w:val="28"/>
                            </w:rPr>
                            <w:instrText xml:space="preserve"> PAGE   \* MERGEFORMAT </w:instrText>
                          </w:r>
                          <w:r>
                            <w:rPr>
                              <w:rFonts w:eastAsiaTheme="minorEastAsia"/>
                              <w:sz w:val="28"/>
                              <w:szCs w:val="28"/>
                            </w:rPr>
                            <w:fldChar w:fldCharType="separate"/>
                          </w:r>
                          <w:r>
                            <w:rPr>
                              <w:rFonts w:eastAsiaTheme="minorEastAsia"/>
                              <w:sz w:val="28"/>
                              <w:szCs w:val="28"/>
                              <w:lang w:val="zh-CN"/>
                            </w:rPr>
                            <w:t>39</w:t>
                          </w:r>
                          <w:r>
                            <w:rPr>
                              <w:rFonts w:eastAsiaTheme="minorEastAsia"/>
                              <w:sz w:val="28"/>
                              <w:szCs w:val="28"/>
                            </w:rPr>
                            <w:fldChar w:fldCharType="end"/>
                          </w:r>
                          <w:r>
                            <w:rPr>
                              <w:rFonts w:hint="eastAsia" w:eastAsiaTheme="minorEastAsia"/>
                              <w:sz w:val="28"/>
                              <w:szCs w:val="28"/>
                            </w:rPr>
                            <w:t xml:space="preserve"> —</w:t>
                          </w:r>
                        </w:p>
                      </w:txbxContent>
                    </wps:txbx>
                    <wps:bodyPr rot="0" vert="eaVert" wrap="square" lIns="91440" tIns="45720" rIns="180000" bIns="324000" anchor="b" anchorCtr="0" upright="1">
                      <a:spAutoFit/>
                    </wps:bodyPr>
                  </wps:wsp>
                </a:graphicData>
              </a:graphic>
            </wp:anchor>
          </w:drawing>
        </mc:Choice>
        <mc:Fallback>
          <w:pict>
            <v:shape id="Text Box 6" o:spid="_x0000_s1026" o:spt="202" type="#_x0000_t202" style="position:absolute;left:0pt;margin-left:0pt;margin-top:0pt;height:99.7pt;width:52.75pt;mso-position-horizontal-relative:page;mso-position-vertical-relative:page;z-index:251660288;v-text-anchor:bottom;mso-width-relative:page;mso-height-relative:page;" filled="f" stroked="f" coordsize="21600,21600" o:gfxdata="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T6z4rWAAAABQEAAA8AAAAAAAAAAQAg&#10;AAAAIgAAAGRycy9kb3ducmV2LnhtbFBLAQIUABQAAAAIAIdO4kAjDUx4EAIAABgEAAAOAAAAAAAA&#10;AAEAIAAAACUBAABkcnMvZTJvRG9jLnhtbFBLBQYAAAAABgAGAFkBAACnBQAAAAA=&#10;">
              <v:fill on="f" focussize="0,0"/>
              <v:stroke on="f"/>
              <v:imagedata o:title=""/>
              <o:lock v:ext="edit" aspectratio="f"/>
              <v:textbox inset="2.54mm,1.27mm,5mm,9mm" style="layout-flow:vertical-ideographic;mso-fit-shape-to-text:t;">
                <w:txbxContent>
                  <w:p>
                    <w:pPr>
                      <w:jc w:val="right"/>
                      <w:rPr>
                        <w:rFonts w:eastAsiaTheme="minorEastAsia"/>
                        <w:sz w:val="28"/>
                        <w:szCs w:val="28"/>
                      </w:rPr>
                    </w:pPr>
                    <w:r>
                      <w:rPr>
                        <w:rFonts w:hint="eastAsia" w:eastAsiaTheme="minorEastAsia"/>
                        <w:sz w:val="28"/>
                        <w:szCs w:val="28"/>
                      </w:rPr>
                      <w:t xml:space="preserve">— </w:t>
                    </w:r>
                    <w:r>
                      <w:rPr>
                        <w:rFonts w:eastAsiaTheme="minorEastAsia"/>
                        <w:sz w:val="28"/>
                        <w:szCs w:val="28"/>
                      </w:rPr>
                      <w:fldChar w:fldCharType="begin"/>
                    </w:r>
                    <w:r>
                      <w:rPr>
                        <w:rFonts w:eastAsiaTheme="minorEastAsia"/>
                        <w:sz w:val="28"/>
                        <w:szCs w:val="28"/>
                      </w:rPr>
                      <w:instrText xml:space="preserve"> PAGE   \* MERGEFORMAT </w:instrText>
                    </w:r>
                    <w:r>
                      <w:rPr>
                        <w:rFonts w:eastAsiaTheme="minorEastAsia"/>
                        <w:sz w:val="28"/>
                        <w:szCs w:val="28"/>
                      </w:rPr>
                      <w:fldChar w:fldCharType="separate"/>
                    </w:r>
                    <w:r>
                      <w:rPr>
                        <w:rFonts w:eastAsiaTheme="minorEastAsia"/>
                        <w:sz w:val="28"/>
                        <w:szCs w:val="28"/>
                        <w:lang w:val="zh-CN"/>
                      </w:rPr>
                      <w:t>39</w:t>
                    </w:r>
                    <w:r>
                      <w:rPr>
                        <w:rFonts w:eastAsiaTheme="minorEastAsia"/>
                        <w:sz w:val="28"/>
                        <w:szCs w:val="28"/>
                      </w:rPr>
                      <w:fldChar w:fldCharType="end"/>
                    </w:r>
                    <w:r>
                      <w:rPr>
                        <w:rFonts w:hint="eastAsia" w:eastAsiaTheme="minorEastAsia"/>
                        <w:sz w:val="28"/>
                        <w:szCs w:val="28"/>
                      </w:rPr>
                      <w:t xml:space="preserve"> —</w:t>
                    </w:r>
                  </w:p>
                </w:txbxContent>
              </v:textbox>
            </v:shape>
          </w:pict>
        </mc:Fallback>
      </mc:AlternateConten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mc:AlternateContent>
        <mc:Choice Requires="wps">
          <w:drawing>
            <wp:anchor distT="0" distB="0" distL="114300" distR="114300" simplePos="0" relativeHeight="251661312" behindDoc="0" locked="0" layoutInCell="1" allowOverlap="1">
              <wp:simplePos x="0" y="0"/>
              <wp:positionH relativeFrom="leftMargin">
                <wp:align>right</wp:align>
              </wp:positionH>
              <wp:positionV relativeFrom="margin">
                <wp:align>top</wp:align>
              </wp:positionV>
              <wp:extent cx="431165" cy="984250"/>
              <wp:effectExtent l="0" t="0" r="0" b="6350"/>
              <wp:wrapNone/>
              <wp:docPr id="2" name="Text Box 7"/>
              <wp:cNvGraphicFramePr/>
              <a:graphic xmlns:a="http://schemas.openxmlformats.org/drawingml/2006/main">
                <a:graphicData uri="http://schemas.microsoft.com/office/word/2010/wordprocessingShape">
                  <wps:wsp>
                    <wps:cNvSpPr txBox="1">
                      <a:spLocks noChangeArrowheads="1"/>
                    </wps:cNvSpPr>
                    <wps:spPr bwMode="auto">
                      <a:xfrm>
                        <a:off x="0" y="0"/>
                        <a:ext cx="431165" cy="984250"/>
                      </a:xfrm>
                      <a:prstGeom prst="rect">
                        <a:avLst/>
                      </a:prstGeom>
                      <a:noFill/>
                      <a:ln w="9525">
                        <a:noFill/>
                        <a:miter lim="800000"/>
                      </a:ln>
                    </wps:spPr>
                    <wps:txbx>
                      <w:txbxContent>
                        <w:p>
                          <w:pPr>
                            <w:rPr>
                              <w:rFonts w:asciiTheme="minorEastAsia" w:eastAsiaTheme="minorEastAsia"/>
                              <w:sz w:val="28"/>
                              <w:szCs w:val="28"/>
                            </w:rPr>
                          </w:pPr>
                        </w:p>
                      </w:txbxContent>
                    </wps:txbx>
                    <wps:bodyPr rot="0" vert="eaVert" wrap="square" lIns="144000" tIns="72000" rIns="144000" bIns="45720" anchor="t" anchorCtr="0" upright="1">
                      <a:spAutoFit/>
                    </wps:bodyPr>
                  </wps:wsp>
                </a:graphicData>
              </a:graphic>
            </wp:anchor>
          </w:drawing>
        </mc:Choice>
        <mc:Fallback>
          <w:pict>
            <v:shape id="Text Box 7" o:spid="_x0000_s1026" o:spt="202" type="#_x0000_t202" style="position:absolute;left:0pt;margin-left:57pt;margin-top:79.4pt;height:77.5pt;width:33.95pt;mso-position-horizontal-relative:page;mso-position-vertical-relative:page;z-index:251661312;mso-width-relative:page;mso-height-relative:page;" filled="f" stroked="f" coordsize="21600,21600" o:gfxdata="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ZIVNe1gAAAAQB&#10;AAAPAAAAAAAAAAEAIAAAACIAAABkcnMvZG93bnJldi54bWxQSwECFAAUAAAACACHTuJAW+6yvB0C&#10;AAA3BAAADgAAAAAAAAABACAAAAAlAQAAZHJzL2Uyb0RvYy54bWxQSwUGAAAAAAYABgBZAQAAtAUA&#10;AAAA&#10;">
              <v:fill on="f" focussize="0,0"/>
              <v:stroke on="f" miterlimit="8" joinstyle="miter"/>
              <v:imagedata o:title=""/>
              <o:lock v:ext="edit" aspectratio="f"/>
              <v:textbox inset="4mm,2mm,4mm,1.27mm" style="layout-flow:vertical-ideographic;mso-fit-shape-to-text:t;">
                <w:txbxContent>
                  <w:p>
                    <w:pPr>
                      <w:rPr>
                        <w:rFonts w:asciiTheme="minorEastAsia" w:eastAsiaTheme="minorEastAsia"/>
                        <w:sz w:val="28"/>
                        <w:szCs w:val="28"/>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2794"/>
        <w:tab w:val="clear" w:pos="4153"/>
        <w:tab w:val="clear" w:pos="8306"/>
      </w:tabs>
      <w:ind w:right="360" w:firstLine="360"/>
    </w:pPr>
    <w:r>
      <mc:AlternateContent>
        <mc:Choice Requires="wps">
          <w:drawing>
            <wp:anchor distT="0" distB="0" distL="114300" distR="114300" simplePos="0" relativeHeight="251668480" behindDoc="0" locked="0" layoutInCell="1" allowOverlap="1">
              <wp:simplePos x="0" y="0"/>
              <wp:positionH relativeFrom="leftMargin">
                <wp:align>right</wp:align>
              </wp:positionH>
              <wp:positionV relativeFrom="margin">
                <wp:align>bottom</wp:align>
              </wp:positionV>
              <wp:extent cx="669925" cy="1266190"/>
              <wp:effectExtent l="0" t="0" r="0" b="0"/>
              <wp:wrapNone/>
              <wp:docPr id="8" name="Text Box 6"/>
              <wp:cNvGraphicFramePr/>
              <a:graphic xmlns:a="http://schemas.openxmlformats.org/drawingml/2006/main">
                <a:graphicData uri="http://schemas.microsoft.com/office/word/2010/wordprocessingShape">
                  <wps:wsp>
                    <wps:cNvSpPr txBox="1">
                      <a:spLocks noChangeArrowheads="1"/>
                    </wps:cNvSpPr>
                    <wps:spPr bwMode="auto">
                      <a:xfrm>
                        <a:off x="0" y="0"/>
                        <a:ext cx="669925" cy="1266190"/>
                      </a:xfrm>
                      <a:prstGeom prst="rect">
                        <a:avLst/>
                      </a:prstGeom>
                      <a:noFill/>
                      <a:ln>
                        <a:noFill/>
                      </a:ln>
                    </wps:spPr>
                    <wps:txbx>
                      <w:txbxContent>
                        <w:p>
                          <w:pPr>
                            <w:jc w:val="right"/>
                            <w:rPr>
                              <w:rFonts w:eastAsiaTheme="minorEastAsia"/>
                              <w:sz w:val="28"/>
                              <w:szCs w:val="28"/>
                            </w:rPr>
                          </w:pPr>
                        </w:p>
                      </w:txbxContent>
                    </wps:txbx>
                    <wps:bodyPr rot="0" vert="eaVert" wrap="square" lIns="91440" tIns="45720" rIns="180000" bIns="324000" anchor="b" anchorCtr="0" upright="1">
                      <a:spAutoFit/>
                    </wps:bodyPr>
                  </wps:wsp>
                </a:graphicData>
              </a:graphic>
            </wp:anchor>
          </w:drawing>
        </mc:Choice>
        <mc:Fallback>
          <w:pict>
            <v:shape id="Text Box 6" o:spid="_x0000_s1026" o:spt="202" type="#_x0000_t202" style="position:absolute;left:0pt;margin-left:41.95pt;margin-top:643pt;height:99.7pt;width:52.75pt;mso-position-horizontal-relative:page;mso-position-vertical-relative:page;z-index:251668480;v-text-anchor:bottom;mso-width-relative:page;mso-height-relative:page;" filled="f" stroked="f" coordsize="21600,21600" o:gfxdata="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T6z4rWAAAABQEAAA8AAAAAAAAAAQAg&#10;AAAAIgAAAGRycy9kb3ducmV2LnhtbFBLAQIUABQAAAAIAIdO4kCu+LGVEAIAABgEAAAOAAAAAAAA&#10;AAEAIAAAACUBAABkcnMvZTJvRG9jLnhtbFBLBQYAAAAABgAGAFkBAACnBQAAAAA=&#10;">
              <v:fill on="f" focussize="0,0"/>
              <v:stroke on="f"/>
              <v:imagedata o:title=""/>
              <o:lock v:ext="edit" aspectratio="f"/>
              <v:textbox inset="2.54mm,1.27mm,5mm,9mm" style="layout-flow:vertical-ideographic;mso-fit-shape-to-text:t;">
                <w:txbxContent>
                  <w:p>
                    <w:pPr>
                      <w:jc w:val="right"/>
                      <w:rPr>
                        <w:rFonts w:eastAsiaTheme="minorEastAsia"/>
                        <w:sz w:val="28"/>
                        <w:szCs w:val="28"/>
                      </w:rPr>
                    </w:pPr>
                  </w:p>
                </w:txbxContent>
              </v:textbox>
            </v:shape>
          </w:pict>
        </mc:Fallback>
      </mc:AlternateContent>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140"/>
      </w:tabs>
    </w:pPr>
    <w:r>
      <mc:AlternateContent>
        <mc:Choice Requires="wps">
          <w:drawing>
            <wp:anchor distT="0" distB="0" distL="114300" distR="114300" simplePos="0" relativeHeight="251662336" behindDoc="0" locked="0" layoutInCell="1" allowOverlap="1">
              <wp:simplePos x="0" y="0"/>
              <wp:positionH relativeFrom="column">
                <wp:posOffset>-471170</wp:posOffset>
              </wp:positionH>
              <wp:positionV relativeFrom="paragraph">
                <wp:posOffset>554990</wp:posOffset>
              </wp:positionV>
              <wp:extent cx="600075" cy="1333500"/>
              <wp:effectExtent l="0" t="0" r="9525" b="0"/>
              <wp:wrapNone/>
              <wp:docPr id="4" name="文本框 4"/>
              <wp:cNvGraphicFramePr/>
              <a:graphic xmlns:a="http://schemas.openxmlformats.org/drawingml/2006/main">
                <a:graphicData uri="http://schemas.microsoft.com/office/word/2010/wordprocessingShape">
                  <wps:wsp>
                    <wps:cNvSpPr txBox="1"/>
                    <wps:spPr>
                      <a:xfrm>
                        <a:off x="0" y="0"/>
                        <a:ext cx="600075"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w:t>
                          </w:r>
                        </w:p>
                      </w:txbxContent>
                    </wps:txbx>
                    <wps:bodyPr rot="0" spcFirstLastPara="0" vertOverflow="overflow" horzOverflow="overflow" vert="eaVert" wrap="square" lIns="0" tIns="36000" rIns="180000" bIns="144000" numCol="1" spcCol="0" rtlCol="0" fromWordArt="0" anchor="ctr" anchorCtr="0" forceAA="0" compatLnSpc="1">
                      <a:noAutofit/>
                    </wps:bodyPr>
                  </wps:wsp>
                </a:graphicData>
              </a:graphic>
            </wp:anchor>
          </w:drawing>
        </mc:Choice>
        <mc:Fallback>
          <w:pict>
            <v:shape id="_x0000_s1026" o:spid="_x0000_s1026" o:spt="202" type="#_x0000_t202" style="position:absolute;left:0pt;margin-left:-37.1pt;margin-top:43.7pt;height:105pt;width:47.25pt;z-index:251662336;v-text-anchor:middle;mso-width-relative:page;mso-height-relative:page;" fillcolor="#FFFFFF [3201]" filled="t" stroked="f" coordsize="21600,21600" o:gfxdata="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G&#10;xiJJ2QAAAAkBAAAPAAAAAAAAAAEAIAAAACIAAABkcnMvZG93bnJldi54bWxQSwECFAAUAAAACACH&#10;TuJAw3JxnlwCAACfBAAADgAAAAAAAAABACAAAAAoAQAAZHJzL2Uyb0RvYy54bWxQSwUGAAAAAAYA&#10;BgBZAQAA9gUAAAAA&#10;">
              <v:fill on="t" focussize="0,0"/>
              <v:stroke on="f" weight="0.5pt"/>
              <v:imagedata o:title=""/>
              <o:lock v:ext="edit" aspectratio="f"/>
              <v:textbox inset="0mm,1mm,5mm,4mm" style="layout-flow:vertical-ideographic;">
                <w:txbxContent>
                  <w:p>
                    <w:pP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w:t>
                    </w:r>
                  </w:p>
                </w:txbxContent>
              </v:textbox>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allowOverlap="1">
              <wp:simplePos x="0" y="0"/>
              <wp:positionH relativeFrom="column">
                <wp:posOffset>-471170</wp:posOffset>
              </wp:positionH>
              <wp:positionV relativeFrom="paragraph">
                <wp:posOffset>554990</wp:posOffset>
              </wp:positionV>
              <wp:extent cx="600075" cy="1333500"/>
              <wp:effectExtent l="0" t="0" r="9525" b="0"/>
              <wp:wrapNone/>
              <wp:docPr id="5" name="文本框 5"/>
              <wp:cNvGraphicFramePr/>
              <a:graphic xmlns:a="http://schemas.openxmlformats.org/drawingml/2006/main">
                <a:graphicData uri="http://schemas.microsoft.com/office/word/2010/wordprocessingShape">
                  <wps:wsp>
                    <wps:cNvSpPr txBox="1"/>
                    <wps:spPr>
                      <a:xfrm>
                        <a:off x="0" y="0"/>
                        <a:ext cx="600075"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40</w:t>
                          </w:r>
                          <w:r>
                            <w:rPr>
                              <w:sz w:val="28"/>
                              <w:szCs w:val="28"/>
                            </w:rPr>
                            <w:fldChar w:fldCharType="end"/>
                          </w:r>
                          <w:r>
                            <w:rPr>
                              <w:sz w:val="28"/>
                              <w:szCs w:val="28"/>
                            </w:rPr>
                            <w:t xml:space="preserve"> —</w:t>
                          </w:r>
                          <w:r>
                            <w:rPr>
                              <w:color w:val="FFFFFF" w:themeColor="background1"/>
                              <w:sz w:val="28"/>
                              <w:szCs w:val="28"/>
                              <w14:textFill>
                                <w14:solidFill>
                                  <w14:schemeClr w14:val="bg1"/>
                                </w14:solidFill>
                              </w14:textFill>
                            </w:rPr>
                            <w:t>—</w:t>
                          </w:r>
                        </w:p>
                      </w:txbxContent>
                    </wps:txbx>
                    <wps:bodyPr rot="0" spcFirstLastPara="0" vertOverflow="overflow" horzOverflow="overflow" vert="eaVert" wrap="square" lIns="0" tIns="36000" rIns="180000" bIns="144000" numCol="1" spcCol="0" rtlCol="0" fromWordArt="0" anchor="ctr" anchorCtr="0" forceAA="0" compatLnSpc="1">
                      <a:noAutofit/>
                    </wps:bodyPr>
                  </wps:wsp>
                </a:graphicData>
              </a:graphic>
            </wp:anchor>
          </w:drawing>
        </mc:Choice>
        <mc:Fallback>
          <w:pict>
            <v:shape id="_x0000_s1026" o:spid="_x0000_s1026" o:spt="202" type="#_x0000_t202" style="position:absolute;left:0pt;margin-left:-37.1pt;margin-top:43.7pt;height:105pt;width:47.25pt;z-index:251664384;v-text-anchor:middle;mso-width-relative:page;mso-height-relative:page;" fillcolor="#FFFFFF [3201]" filled="t" stroked="f" coordsize="21600,21600" o:gfxdata="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bG&#10;IknZAAAACQEAAA8AAAAAAAAAAQAgAAAAIgAAAGRycy9kb3ducmV2LnhtbFBLAQIUABQAAAAIAIdO&#10;4kBLNoLsWwIAAJ8EAAAOAAAAAAAAAAEAIAAAACgBAABkcnMvZTJvRG9jLnhtbFBLBQYAAAAABgAG&#10;AFkBAAD1BQAAAAA=&#10;">
              <v:fill on="t" focussize="0,0"/>
              <v:stroke on="f" weight="0.5pt"/>
              <v:imagedata o:title=""/>
              <o:lock v:ext="edit" aspectratio="f"/>
              <v:textbox inset="0mm,1mm,5mm,4mm" style="layout-flow:vertical-ideographic;">
                <w:txbxContent>
                  <w:p>
                    <w:pP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40</w:t>
                    </w:r>
                    <w:r>
                      <w:rPr>
                        <w:sz w:val="28"/>
                        <w:szCs w:val="28"/>
                      </w:rPr>
                      <w:fldChar w:fldCharType="end"/>
                    </w:r>
                    <w:r>
                      <w:rPr>
                        <w:sz w:val="28"/>
                        <w:szCs w:val="28"/>
                      </w:rPr>
                      <w:t xml:space="preserve"> —</w:t>
                    </w:r>
                    <w:r>
                      <w:rPr>
                        <w:color w:val="FFFFFF" w:themeColor="background1"/>
                        <w:sz w:val="28"/>
                        <w:szCs w:val="28"/>
                        <w14:textFill>
                          <w14:solidFill>
                            <w14:schemeClr w14:val="bg1"/>
                          </w14:solidFill>
                        </w14:textFill>
                      </w:rPr>
                      <w: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6432" behindDoc="0" locked="0" layoutInCell="1" allowOverlap="1">
              <wp:simplePos x="0" y="0"/>
              <wp:positionH relativeFrom="column">
                <wp:posOffset>-471170</wp:posOffset>
              </wp:positionH>
              <wp:positionV relativeFrom="paragraph">
                <wp:posOffset>554990</wp:posOffset>
              </wp:positionV>
              <wp:extent cx="600075" cy="1333500"/>
              <wp:effectExtent l="0" t="0" r="9525" b="0"/>
              <wp:wrapNone/>
              <wp:docPr id="7" name="文本框 7"/>
              <wp:cNvGraphicFramePr/>
              <a:graphic xmlns:a="http://schemas.openxmlformats.org/drawingml/2006/main">
                <a:graphicData uri="http://schemas.microsoft.com/office/word/2010/wordprocessingShape">
                  <wps:wsp>
                    <wps:cNvSpPr txBox="1"/>
                    <wps:spPr>
                      <a:xfrm>
                        <a:off x="0" y="0"/>
                        <a:ext cx="600075"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w:t>
                          </w:r>
                          <w:r>
                            <w:rPr>
                              <w:color w:val="FFFFFF" w:themeColor="background1"/>
                              <w:sz w:val="28"/>
                              <w:szCs w:val="28"/>
                              <w14:textFill>
                                <w14:solidFill>
                                  <w14:schemeClr w14:val="bg1"/>
                                </w14:solidFill>
                              </w14:textFill>
                            </w:rPr>
                            <w:t>—</w:t>
                          </w:r>
                        </w:p>
                      </w:txbxContent>
                    </wps:txbx>
                    <wps:bodyPr rot="0" spcFirstLastPara="0" vertOverflow="overflow" horzOverflow="overflow" vert="eaVert" wrap="square" lIns="0" tIns="36000" rIns="180000" bIns="144000" numCol="1" spcCol="0" rtlCol="0" fromWordArt="0" anchor="ctr" anchorCtr="0" forceAA="0" compatLnSpc="1">
                      <a:noAutofit/>
                    </wps:bodyPr>
                  </wps:wsp>
                </a:graphicData>
              </a:graphic>
            </wp:anchor>
          </w:drawing>
        </mc:Choice>
        <mc:Fallback>
          <w:pict>
            <v:shape id="_x0000_s1026" o:spid="_x0000_s1026" o:spt="202" type="#_x0000_t202" style="position:absolute;left:0pt;margin-left:-37.1pt;margin-top:43.7pt;height:105pt;width:47.25pt;z-index:251666432;v-text-anchor:middle;mso-width-relative:page;mso-height-relative:page;" fillcolor="#FFFFFF [3201]" filled="t" stroked="f" coordsize="21600,21600" o:gfxdata="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bG&#10;IknZAAAACQEAAA8AAAAAAAAAAQAgAAAAIgAAAGRycy9kb3ducmV2LnhtbFBLAQIUABQAAAAIAIdO&#10;4kBbv2QJWwIAAJ8EAAAOAAAAAAAAAAEAIAAAACgBAABkcnMvZTJvRG9jLnhtbFBLBQYAAAAABgAG&#10;AFkBAAD1BQAAAAA=&#10;">
              <v:fill on="t" focussize="0,0"/>
              <v:stroke on="f" weight="0.5pt"/>
              <v:imagedata o:title=""/>
              <o:lock v:ext="edit" aspectratio="f"/>
              <v:textbox inset="0mm,1mm,5mm,4mm" style="layout-flow:vertical-ideographic;">
                <w:txbxContent>
                  <w:p>
                    <w:pP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w:t>
                    </w:r>
                    <w:r>
                      <w:rPr>
                        <w:color w:val="FFFFFF" w:themeColor="background1"/>
                        <w:sz w:val="28"/>
                        <w:szCs w:val="28"/>
                        <w14:textFill>
                          <w14:solidFill>
                            <w14:schemeClr w14:val="bg1"/>
                          </w14:solidFill>
                        </w14:textFill>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AFE758"/>
    <w:multiLevelType w:val="singleLevel"/>
    <w:tmpl w:val="94AFE758"/>
    <w:lvl w:ilvl="0" w:tentative="0">
      <w:start w:val="3"/>
      <w:numFmt w:val="decimal"/>
      <w:suff w:val="nothing"/>
      <w:lvlText w:val="（%1）"/>
      <w:lvlJc w:val="left"/>
      <w:pPr>
        <w:ind w:left="-55"/>
      </w:pPr>
    </w:lvl>
  </w:abstractNum>
  <w:abstractNum w:abstractNumId="1">
    <w:nsid w:val="BAD0B76A"/>
    <w:multiLevelType w:val="singleLevel"/>
    <w:tmpl w:val="BAD0B76A"/>
    <w:lvl w:ilvl="0" w:tentative="0">
      <w:start w:val="3"/>
      <w:numFmt w:val="chineseCounting"/>
      <w:suff w:val="nothing"/>
      <w:lvlText w:val="%1、"/>
      <w:lvlJc w:val="left"/>
      <w:rPr>
        <w:rFonts w:hint="eastAsia"/>
      </w:rPr>
    </w:lvl>
  </w:abstractNum>
  <w:abstractNum w:abstractNumId="2">
    <w:nsid w:val="231AB78E"/>
    <w:multiLevelType w:val="singleLevel"/>
    <w:tmpl w:val="231AB78E"/>
    <w:lvl w:ilvl="0" w:tentative="0">
      <w:start w:val="1"/>
      <w:numFmt w:val="chineseCounting"/>
      <w:suff w:val="nothing"/>
      <w:lvlText w:val="（%1）"/>
      <w:lvlJc w:val="left"/>
      <w:rPr>
        <w:rFonts w:hint="eastAsia"/>
      </w:rPr>
    </w:lvl>
  </w:abstractNum>
  <w:abstractNum w:abstractNumId="3">
    <w:nsid w:val="68E206C2"/>
    <w:multiLevelType w:val="multilevel"/>
    <w:tmpl w:val="68E206C2"/>
    <w:lvl w:ilvl="0" w:tentative="0">
      <w:start w:val="0"/>
      <w:numFmt w:val="bullet"/>
      <w:lvlText w:val="—"/>
      <w:lvlJc w:val="left"/>
      <w:pPr>
        <w:ind w:left="465" w:hanging="465"/>
      </w:pPr>
      <w:rPr>
        <w:rFonts w:hint="eastAsia" w:ascii="宋体" w:hAnsi="宋体" w:eastAsia="宋体" w:cs="Times New Roman"/>
        <w:color w:val="FFFFFF" w:themeColor="background1"/>
        <w:sz w:val="28"/>
        <w14:textFill>
          <w14:solidFill>
            <w14:schemeClr w14:val="bg1"/>
          </w14:solidFill>
        </w14:textFil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5E"/>
    <w:rsid w:val="0000273F"/>
    <w:rsid w:val="00006965"/>
    <w:rsid w:val="000102DB"/>
    <w:rsid w:val="000106B3"/>
    <w:rsid w:val="00022B0B"/>
    <w:rsid w:val="0002747D"/>
    <w:rsid w:val="000325A7"/>
    <w:rsid w:val="00036B14"/>
    <w:rsid w:val="000646F9"/>
    <w:rsid w:val="00072E82"/>
    <w:rsid w:val="00095B78"/>
    <w:rsid w:val="000A3325"/>
    <w:rsid w:val="000A617E"/>
    <w:rsid w:val="000B41B3"/>
    <w:rsid w:val="000C01E4"/>
    <w:rsid w:val="000C15AE"/>
    <w:rsid w:val="000C5B3E"/>
    <w:rsid w:val="000D2D8F"/>
    <w:rsid w:val="000F0B44"/>
    <w:rsid w:val="00105F1B"/>
    <w:rsid w:val="001263A2"/>
    <w:rsid w:val="001267CE"/>
    <w:rsid w:val="0014357A"/>
    <w:rsid w:val="00145B94"/>
    <w:rsid w:val="00153319"/>
    <w:rsid w:val="00162EA6"/>
    <w:rsid w:val="00166019"/>
    <w:rsid w:val="0017100E"/>
    <w:rsid w:val="00173E37"/>
    <w:rsid w:val="00174AE5"/>
    <w:rsid w:val="00183A32"/>
    <w:rsid w:val="00185C72"/>
    <w:rsid w:val="001A19EE"/>
    <w:rsid w:val="001B0ECA"/>
    <w:rsid w:val="001B5729"/>
    <w:rsid w:val="001B62FB"/>
    <w:rsid w:val="001D4CBE"/>
    <w:rsid w:val="001D50F8"/>
    <w:rsid w:val="001E0E44"/>
    <w:rsid w:val="001E4F8B"/>
    <w:rsid w:val="001E5AD8"/>
    <w:rsid w:val="001F4435"/>
    <w:rsid w:val="00210209"/>
    <w:rsid w:val="00222F5B"/>
    <w:rsid w:val="0022371E"/>
    <w:rsid w:val="00223FF2"/>
    <w:rsid w:val="00231AB7"/>
    <w:rsid w:val="002378AA"/>
    <w:rsid w:val="0024101E"/>
    <w:rsid w:val="00255710"/>
    <w:rsid w:val="0026317B"/>
    <w:rsid w:val="00267F84"/>
    <w:rsid w:val="00270621"/>
    <w:rsid w:val="00271D94"/>
    <w:rsid w:val="00271E88"/>
    <w:rsid w:val="0028443C"/>
    <w:rsid w:val="002A396E"/>
    <w:rsid w:val="002A5C22"/>
    <w:rsid w:val="002B1274"/>
    <w:rsid w:val="002B5E75"/>
    <w:rsid w:val="002C14DB"/>
    <w:rsid w:val="002C233B"/>
    <w:rsid w:val="002C2BFB"/>
    <w:rsid w:val="002C2C9B"/>
    <w:rsid w:val="002C3B66"/>
    <w:rsid w:val="002C5C45"/>
    <w:rsid w:val="002D0ABD"/>
    <w:rsid w:val="002D11A7"/>
    <w:rsid w:val="002D5CF0"/>
    <w:rsid w:val="002D783C"/>
    <w:rsid w:val="002F0F3E"/>
    <w:rsid w:val="002F75D6"/>
    <w:rsid w:val="00304425"/>
    <w:rsid w:val="003202F9"/>
    <w:rsid w:val="00321947"/>
    <w:rsid w:val="0032754A"/>
    <w:rsid w:val="00336DBE"/>
    <w:rsid w:val="0034547E"/>
    <w:rsid w:val="00353753"/>
    <w:rsid w:val="00354624"/>
    <w:rsid w:val="00362AEE"/>
    <w:rsid w:val="0037451D"/>
    <w:rsid w:val="003835DD"/>
    <w:rsid w:val="00383F15"/>
    <w:rsid w:val="00386406"/>
    <w:rsid w:val="003870A9"/>
    <w:rsid w:val="00391521"/>
    <w:rsid w:val="003915D3"/>
    <w:rsid w:val="00392389"/>
    <w:rsid w:val="003A3408"/>
    <w:rsid w:val="003C2DC5"/>
    <w:rsid w:val="003C7B1B"/>
    <w:rsid w:val="003E1A72"/>
    <w:rsid w:val="003E2114"/>
    <w:rsid w:val="003E7CD9"/>
    <w:rsid w:val="003F35CE"/>
    <w:rsid w:val="0040010A"/>
    <w:rsid w:val="004002D3"/>
    <w:rsid w:val="00400494"/>
    <w:rsid w:val="00405F58"/>
    <w:rsid w:val="00411850"/>
    <w:rsid w:val="0042149C"/>
    <w:rsid w:val="00437309"/>
    <w:rsid w:val="00440BB9"/>
    <w:rsid w:val="004616B5"/>
    <w:rsid w:val="00462AE1"/>
    <w:rsid w:val="00463A40"/>
    <w:rsid w:val="00467346"/>
    <w:rsid w:val="004719DA"/>
    <w:rsid w:val="00474EED"/>
    <w:rsid w:val="00481F5F"/>
    <w:rsid w:val="00497246"/>
    <w:rsid w:val="004A5877"/>
    <w:rsid w:val="004A6E7F"/>
    <w:rsid w:val="004B16C2"/>
    <w:rsid w:val="004D02E7"/>
    <w:rsid w:val="004D035A"/>
    <w:rsid w:val="004D334C"/>
    <w:rsid w:val="004E263E"/>
    <w:rsid w:val="00500492"/>
    <w:rsid w:val="00502ACB"/>
    <w:rsid w:val="00504409"/>
    <w:rsid w:val="005104C3"/>
    <w:rsid w:val="00510B6E"/>
    <w:rsid w:val="0051380F"/>
    <w:rsid w:val="00517CFD"/>
    <w:rsid w:val="00521CF0"/>
    <w:rsid w:val="0052422E"/>
    <w:rsid w:val="005474C9"/>
    <w:rsid w:val="005515B1"/>
    <w:rsid w:val="00551E41"/>
    <w:rsid w:val="005563B6"/>
    <w:rsid w:val="005608F9"/>
    <w:rsid w:val="00570F94"/>
    <w:rsid w:val="0057580D"/>
    <w:rsid w:val="00577854"/>
    <w:rsid w:val="005850A3"/>
    <w:rsid w:val="00586610"/>
    <w:rsid w:val="005915F2"/>
    <w:rsid w:val="00592A1C"/>
    <w:rsid w:val="005A5C3D"/>
    <w:rsid w:val="005A6B18"/>
    <w:rsid w:val="005C4BEF"/>
    <w:rsid w:val="005D071E"/>
    <w:rsid w:val="005D094D"/>
    <w:rsid w:val="005D48B2"/>
    <w:rsid w:val="005F1CC2"/>
    <w:rsid w:val="005F26AD"/>
    <w:rsid w:val="005F3166"/>
    <w:rsid w:val="006042DC"/>
    <w:rsid w:val="00606536"/>
    <w:rsid w:val="00611663"/>
    <w:rsid w:val="00613FFA"/>
    <w:rsid w:val="006249CE"/>
    <w:rsid w:val="00630A13"/>
    <w:rsid w:val="00635150"/>
    <w:rsid w:val="0063520D"/>
    <w:rsid w:val="00640A2C"/>
    <w:rsid w:val="00643506"/>
    <w:rsid w:val="00647C6F"/>
    <w:rsid w:val="00652847"/>
    <w:rsid w:val="00664952"/>
    <w:rsid w:val="00667FA2"/>
    <w:rsid w:val="00684B48"/>
    <w:rsid w:val="006912E8"/>
    <w:rsid w:val="00696569"/>
    <w:rsid w:val="006A4F4B"/>
    <w:rsid w:val="006B0B4C"/>
    <w:rsid w:val="006C2104"/>
    <w:rsid w:val="006D0303"/>
    <w:rsid w:val="006D4F65"/>
    <w:rsid w:val="006E03BB"/>
    <w:rsid w:val="006E1629"/>
    <w:rsid w:val="006E44F6"/>
    <w:rsid w:val="006E7720"/>
    <w:rsid w:val="006F16E7"/>
    <w:rsid w:val="007137BB"/>
    <w:rsid w:val="007146B7"/>
    <w:rsid w:val="00717886"/>
    <w:rsid w:val="00724C92"/>
    <w:rsid w:val="00734005"/>
    <w:rsid w:val="00737997"/>
    <w:rsid w:val="007479C7"/>
    <w:rsid w:val="0075129B"/>
    <w:rsid w:val="0075558A"/>
    <w:rsid w:val="00755AD8"/>
    <w:rsid w:val="007662F6"/>
    <w:rsid w:val="00770F4F"/>
    <w:rsid w:val="007714DC"/>
    <w:rsid w:val="0078274C"/>
    <w:rsid w:val="00784E5A"/>
    <w:rsid w:val="00790450"/>
    <w:rsid w:val="007961BB"/>
    <w:rsid w:val="007B2308"/>
    <w:rsid w:val="007B2331"/>
    <w:rsid w:val="007B4071"/>
    <w:rsid w:val="007B728C"/>
    <w:rsid w:val="007C121C"/>
    <w:rsid w:val="007C535E"/>
    <w:rsid w:val="007E139D"/>
    <w:rsid w:val="007E2805"/>
    <w:rsid w:val="00800093"/>
    <w:rsid w:val="00802A52"/>
    <w:rsid w:val="00804B2A"/>
    <w:rsid w:val="00810169"/>
    <w:rsid w:val="00833A48"/>
    <w:rsid w:val="00835B5F"/>
    <w:rsid w:val="00835ECB"/>
    <w:rsid w:val="00843629"/>
    <w:rsid w:val="00850045"/>
    <w:rsid w:val="00854032"/>
    <w:rsid w:val="008554BA"/>
    <w:rsid w:val="0086655F"/>
    <w:rsid w:val="0088282A"/>
    <w:rsid w:val="0089450D"/>
    <w:rsid w:val="00895CF4"/>
    <w:rsid w:val="00896469"/>
    <w:rsid w:val="00897AA0"/>
    <w:rsid w:val="008A72EC"/>
    <w:rsid w:val="008B7AFB"/>
    <w:rsid w:val="008C228F"/>
    <w:rsid w:val="008C28FB"/>
    <w:rsid w:val="008C5B55"/>
    <w:rsid w:val="008D3CD3"/>
    <w:rsid w:val="008E0085"/>
    <w:rsid w:val="008F40AD"/>
    <w:rsid w:val="008F6383"/>
    <w:rsid w:val="00900B89"/>
    <w:rsid w:val="00901A49"/>
    <w:rsid w:val="00906565"/>
    <w:rsid w:val="00906F43"/>
    <w:rsid w:val="00910F05"/>
    <w:rsid w:val="0092687C"/>
    <w:rsid w:val="009312EA"/>
    <w:rsid w:val="00933FA6"/>
    <w:rsid w:val="00934818"/>
    <w:rsid w:val="00940855"/>
    <w:rsid w:val="00940B01"/>
    <w:rsid w:val="009416A5"/>
    <w:rsid w:val="00951EBD"/>
    <w:rsid w:val="00964CDF"/>
    <w:rsid w:val="00970B3C"/>
    <w:rsid w:val="009814CF"/>
    <w:rsid w:val="009858DD"/>
    <w:rsid w:val="00985B0A"/>
    <w:rsid w:val="0098645E"/>
    <w:rsid w:val="009A7B1A"/>
    <w:rsid w:val="009A7DD4"/>
    <w:rsid w:val="009B03BB"/>
    <w:rsid w:val="009D343D"/>
    <w:rsid w:val="009E7E73"/>
    <w:rsid w:val="009F16F4"/>
    <w:rsid w:val="009F60DC"/>
    <w:rsid w:val="009F79CE"/>
    <w:rsid w:val="00A0182A"/>
    <w:rsid w:val="00A03297"/>
    <w:rsid w:val="00A0391C"/>
    <w:rsid w:val="00A06028"/>
    <w:rsid w:val="00A063FC"/>
    <w:rsid w:val="00A10E35"/>
    <w:rsid w:val="00A16AA3"/>
    <w:rsid w:val="00A228AF"/>
    <w:rsid w:val="00A42663"/>
    <w:rsid w:val="00A43108"/>
    <w:rsid w:val="00A52209"/>
    <w:rsid w:val="00A53676"/>
    <w:rsid w:val="00A55243"/>
    <w:rsid w:val="00A57C10"/>
    <w:rsid w:val="00A606F4"/>
    <w:rsid w:val="00A61F60"/>
    <w:rsid w:val="00A62288"/>
    <w:rsid w:val="00A624C5"/>
    <w:rsid w:val="00A62D4B"/>
    <w:rsid w:val="00A65D3D"/>
    <w:rsid w:val="00A66A0A"/>
    <w:rsid w:val="00A74680"/>
    <w:rsid w:val="00A75044"/>
    <w:rsid w:val="00A80713"/>
    <w:rsid w:val="00A85258"/>
    <w:rsid w:val="00A957A0"/>
    <w:rsid w:val="00A973CB"/>
    <w:rsid w:val="00AA79C7"/>
    <w:rsid w:val="00AB6744"/>
    <w:rsid w:val="00AC4926"/>
    <w:rsid w:val="00AC6BC7"/>
    <w:rsid w:val="00AD09DB"/>
    <w:rsid w:val="00AD0DF2"/>
    <w:rsid w:val="00AE42BD"/>
    <w:rsid w:val="00AF1E1E"/>
    <w:rsid w:val="00AF3087"/>
    <w:rsid w:val="00B03D01"/>
    <w:rsid w:val="00B100D7"/>
    <w:rsid w:val="00B13871"/>
    <w:rsid w:val="00B158F3"/>
    <w:rsid w:val="00B17787"/>
    <w:rsid w:val="00B17BA9"/>
    <w:rsid w:val="00B359DE"/>
    <w:rsid w:val="00B43839"/>
    <w:rsid w:val="00B449AD"/>
    <w:rsid w:val="00B5431C"/>
    <w:rsid w:val="00B64AA0"/>
    <w:rsid w:val="00B6627B"/>
    <w:rsid w:val="00B7784A"/>
    <w:rsid w:val="00B77B98"/>
    <w:rsid w:val="00B81838"/>
    <w:rsid w:val="00B90010"/>
    <w:rsid w:val="00BA32C9"/>
    <w:rsid w:val="00BB3BE1"/>
    <w:rsid w:val="00BB4A92"/>
    <w:rsid w:val="00BB5AD5"/>
    <w:rsid w:val="00BC473E"/>
    <w:rsid w:val="00BD3142"/>
    <w:rsid w:val="00BE21C4"/>
    <w:rsid w:val="00BF0415"/>
    <w:rsid w:val="00C00F56"/>
    <w:rsid w:val="00C01873"/>
    <w:rsid w:val="00C04146"/>
    <w:rsid w:val="00C067D9"/>
    <w:rsid w:val="00C203C6"/>
    <w:rsid w:val="00C268EC"/>
    <w:rsid w:val="00C27F25"/>
    <w:rsid w:val="00C54CEC"/>
    <w:rsid w:val="00C559FE"/>
    <w:rsid w:val="00C55FA5"/>
    <w:rsid w:val="00C5743C"/>
    <w:rsid w:val="00C61071"/>
    <w:rsid w:val="00C62AD8"/>
    <w:rsid w:val="00C67935"/>
    <w:rsid w:val="00C728F1"/>
    <w:rsid w:val="00C7600B"/>
    <w:rsid w:val="00C8202C"/>
    <w:rsid w:val="00C8768B"/>
    <w:rsid w:val="00C936A4"/>
    <w:rsid w:val="00CA53B7"/>
    <w:rsid w:val="00CA714A"/>
    <w:rsid w:val="00CB1C5C"/>
    <w:rsid w:val="00CC1CC7"/>
    <w:rsid w:val="00CC57A0"/>
    <w:rsid w:val="00CD0772"/>
    <w:rsid w:val="00CD4BD1"/>
    <w:rsid w:val="00CD5AE8"/>
    <w:rsid w:val="00CD6361"/>
    <w:rsid w:val="00CE3A77"/>
    <w:rsid w:val="00D00BBE"/>
    <w:rsid w:val="00D02297"/>
    <w:rsid w:val="00D06A8F"/>
    <w:rsid w:val="00D26B3A"/>
    <w:rsid w:val="00D2742D"/>
    <w:rsid w:val="00D3500C"/>
    <w:rsid w:val="00D44B98"/>
    <w:rsid w:val="00D470D7"/>
    <w:rsid w:val="00D47842"/>
    <w:rsid w:val="00D501BF"/>
    <w:rsid w:val="00D53057"/>
    <w:rsid w:val="00D553A1"/>
    <w:rsid w:val="00D56FE6"/>
    <w:rsid w:val="00D63754"/>
    <w:rsid w:val="00D764E4"/>
    <w:rsid w:val="00D80001"/>
    <w:rsid w:val="00D94D92"/>
    <w:rsid w:val="00D95F09"/>
    <w:rsid w:val="00DA653F"/>
    <w:rsid w:val="00DB3AD8"/>
    <w:rsid w:val="00DC5649"/>
    <w:rsid w:val="00DC592F"/>
    <w:rsid w:val="00DC6488"/>
    <w:rsid w:val="00DC7B63"/>
    <w:rsid w:val="00DE2002"/>
    <w:rsid w:val="00DE320B"/>
    <w:rsid w:val="00DF2D46"/>
    <w:rsid w:val="00E00124"/>
    <w:rsid w:val="00E13CAF"/>
    <w:rsid w:val="00E231E0"/>
    <w:rsid w:val="00E30A40"/>
    <w:rsid w:val="00E3113B"/>
    <w:rsid w:val="00E37D09"/>
    <w:rsid w:val="00E422D5"/>
    <w:rsid w:val="00E45FB7"/>
    <w:rsid w:val="00E50634"/>
    <w:rsid w:val="00E53C89"/>
    <w:rsid w:val="00E55454"/>
    <w:rsid w:val="00E56CE9"/>
    <w:rsid w:val="00E578B6"/>
    <w:rsid w:val="00E646ED"/>
    <w:rsid w:val="00E80304"/>
    <w:rsid w:val="00E83E5F"/>
    <w:rsid w:val="00E91BC8"/>
    <w:rsid w:val="00E93124"/>
    <w:rsid w:val="00EB5331"/>
    <w:rsid w:val="00EC093A"/>
    <w:rsid w:val="00ED2270"/>
    <w:rsid w:val="00ED4D37"/>
    <w:rsid w:val="00ED5815"/>
    <w:rsid w:val="00ED6E58"/>
    <w:rsid w:val="00ED7CB1"/>
    <w:rsid w:val="00EE2C7A"/>
    <w:rsid w:val="00EE7EBA"/>
    <w:rsid w:val="00EF21B6"/>
    <w:rsid w:val="00EF384D"/>
    <w:rsid w:val="00EF5792"/>
    <w:rsid w:val="00F00466"/>
    <w:rsid w:val="00F10DAF"/>
    <w:rsid w:val="00F11F9E"/>
    <w:rsid w:val="00F12D4B"/>
    <w:rsid w:val="00F14165"/>
    <w:rsid w:val="00F150CC"/>
    <w:rsid w:val="00F15BB5"/>
    <w:rsid w:val="00F15E0C"/>
    <w:rsid w:val="00F17993"/>
    <w:rsid w:val="00F203CB"/>
    <w:rsid w:val="00F26B03"/>
    <w:rsid w:val="00F319CB"/>
    <w:rsid w:val="00F31E26"/>
    <w:rsid w:val="00F31EEB"/>
    <w:rsid w:val="00F346D6"/>
    <w:rsid w:val="00F47070"/>
    <w:rsid w:val="00F471C2"/>
    <w:rsid w:val="00F540EA"/>
    <w:rsid w:val="00F56DB1"/>
    <w:rsid w:val="00F62265"/>
    <w:rsid w:val="00F62E4D"/>
    <w:rsid w:val="00F6627A"/>
    <w:rsid w:val="00F906BD"/>
    <w:rsid w:val="00F948AE"/>
    <w:rsid w:val="00FA27A3"/>
    <w:rsid w:val="00FA7800"/>
    <w:rsid w:val="00FB435E"/>
    <w:rsid w:val="00FC2FC0"/>
    <w:rsid w:val="00FC4E48"/>
    <w:rsid w:val="00FC7377"/>
    <w:rsid w:val="00FD02D5"/>
    <w:rsid w:val="00FD2282"/>
    <w:rsid w:val="00FD7CA0"/>
    <w:rsid w:val="00FE1E58"/>
    <w:rsid w:val="00FF040D"/>
    <w:rsid w:val="00FF1640"/>
    <w:rsid w:val="00FF7BA6"/>
    <w:rsid w:val="09D12636"/>
    <w:rsid w:val="18D5450B"/>
    <w:rsid w:val="1CB97FD1"/>
    <w:rsid w:val="1D2A56E8"/>
    <w:rsid w:val="204A07DE"/>
    <w:rsid w:val="27842A64"/>
    <w:rsid w:val="31497A9B"/>
    <w:rsid w:val="31E515B4"/>
    <w:rsid w:val="34AA757C"/>
    <w:rsid w:val="46FC664E"/>
    <w:rsid w:val="5703436E"/>
    <w:rsid w:val="633411B9"/>
    <w:rsid w:val="634001E3"/>
    <w:rsid w:val="64C5596F"/>
    <w:rsid w:val="65485F27"/>
    <w:rsid w:val="67CB45F9"/>
    <w:rsid w:val="74E119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2"/>
    <w:qFormat/>
    <w:uiPriority w:val="0"/>
    <w:pPr>
      <w:jc w:val="left"/>
      <w:outlineLvl w:val="1"/>
    </w:pPr>
    <w:rPr>
      <w:rFonts w:ascii="宋体" w:hAnsi="宋体"/>
      <w:b/>
      <w:kern w:val="0"/>
      <w:sz w:val="18"/>
      <w:szCs w:val="18"/>
    </w:rPr>
  </w:style>
  <w:style w:type="character" w:default="1" w:styleId="25">
    <w:name w:val="Default Paragraph Font"/>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tabs>
        <w:tab w:val="right" w:leader="dot" w:pos="8834"/>
      </w:tabs>
      <w:ind w:firstLine="600"/>
    </w:pPr>
    <w:rPr>
      <w:rFonts w:asciiTheme="minorHAnsi" w:hAnsiTheme="minorHAnsi" w:eastAsiaTheme="minorHAnsi" w:cstheme="minorBidi"/>
      <w:smallCaps/>
      <w:sz w:val="30"/>
      <w:szCs w:val="20"/>
    </w:rPr>
  </w:style>
  <w:style w:type="paragraph" w:styleId="5">
    <w:name w:val="Document Map"/>
    <w:basedOn w:val="1"/>
    <w:link w:val="103"/>
    <w:semiHidden/>
    <w:qFormat/>
    <w:uiPriority w:val="0"/>
    <w:pPr>
      <w:shd w:val="clear" w:color="auto" w:fill="000080"/>
    </w:pPr>
  </w:style>
  <w:style w:type="paragraph" w:styleId="6">
    <w:name w:val="annotation text"/>
    <w:basedOn w:val="1"/>
    <w:link w:val="212"/>
    <w:semiHidden/>
    <w:qFormat/>
    <w:uiPriority w:val="0"/>
    <w:pPr>
      <w:jc w:val="left"/>
    </w:pPr>
    <w:rPr>
      <w:rFonts w:ascii="Calibri" w:hAnsi="Calibri" w:cstheme="minorBidi"/>
      <w:kern w:val="0"/>
      <w:sz w:val="20"/>
    </w:rPr>
  </w:style>
  <w:style w:type="paragraph" w:styleId="7">
    <w:name w:val="Body Text"/>
    <w:basedOn w:val="1"/>
    <w:link w:val="104"/>
    <w:qFormat/>
    <w:uiPriority w:val="0"/>
    <w:pPr>
      <w:spacing w:after="120"/>
    </w:pPr>
  </w:style>
  <w:style w:type="paragraph" w:styleId="8">
    <w:name w:val="Body Text Indent"/>
    <w:basedOn w:val="1"/>
    <w:link w:val="33"/>
    <w:qFormat/>
    <w:uiPriority w:val="0"/>
    <w:pPr>
      <w:spacing w:line="460" w:lineRule="exact"/>
      <w:ind w:left="2" w:leftChars="1" w:firstLine="800" w:firstLineChars="250"/>
    </w:pPr>
    <w:rPr>
      <w:rFonts w:ascii="仿宋_GB2312" w:hAnsi="宋体" w:eastAsia="仿宋_GB2312"/>
      <w:sz w:val="32"/>
      <w:szCs w:val="30"/>
    </w:rPr>
  </w:style>
  <w:style w:type="paragraph" w:styleId="9">
    <w:name w:val="Plain Text"/>
    <w:basedOn w:val="1"/>
    <w:link w:val="105"/>
    <w:qFormat/>
    <w:uiPriority w:val="0"/>
    <w:rPr>
      <w:rFonts w:ascii="宋体" w:hAnsi="Courier New" w:cs="Courier New"/>
      <w:szCs w:val="21"/>
    </w:rPr>
  </w:style>
  <w:style w:type="paragraph" w:styleId="10">
    <w:name w:val="Date"/>
    <w:basedOn w:val="1"/>
    <w:next w:val="1"/>
    <w:link w:val="34"/>
    <w:qFormat/>
    <w:uiPriority w:val="99"/>
    <w:rPr>
      <w:rFonts w:eastAsia="仿宋_GB2312"/>
      <w:sz w:val="32"/>
      <w:szCs w:val="20"/>
    </w:rPr>
  </w:style>
  <w:style w:type="paragraph" w:styleId="11">
    <w:name w:val="Body Text Indent 2"/>
    <w:basedOn w:val="1"/>
    <w:link w:val="106"/>
    <w:qFormat/>
    <w:uiPriority w:val="0"/>
    <w:pPr>
      <w:spacing w:line="560" w:lineRule="exact"/>
      <w:ind w:firstLine="640" w:firstLineChars="200"/>
    </w:pPr>
    <w:rPr>
      <w:rFonts w:ascii="仿宋_GB2312" w:eastAsia="仿宋_GB2312"/>
      <w:sz w:val="32"/>
    </w:rPr>
  </w:style>
  <w:style w:type="paragraph" w:styleId="12">
    <w:name w:val="endnote text"/>
    <w:basedOn w:val="1"/>
    <w:link w:val="107"/>
    <w:qFormat/>
    <w:uiPriority w:val="0"/>
    <w:pPr>
      <w:snapToGrid w:val="0"/>
      <w:jc w:val="left"/>
    </w:pPr>
  </w:style>
  <w:style w:type="paragraph" w:styleId="13">
    <w:name w:val="Balloon Text"/>
    <w:basedOn w:val="1"/>
    <w:link w:val="56"/>
    <w:qFormat/>
    <w:uiPriority w:val="0"/>
    <w:rPr>
      <w:sz w:val="18"/>
      <w:szCs w:val="18"/>
    </w:rPr>
  </w:style>
  <w:style w:type="paragraph" w:styleId="14">
    <w:name w:val="footer"/>
    <w:basedOn w:val="1"/>
    <w:link w:val="35"/>
    <w:qFormat/>
    <w:uiPriority w:val="99"/>
    <w:pPr>
      <w:tabs>
        <w:tab w:val="center" w:pos="4153"/>
        <w:tab w:val="right" w:pos="8306"/>
      </w:tabs>
      <w:snapToGrid w:val="0"/>
      <w:jc w:val="left"/>
    </w:pPr>
    <w:rPr>
      <w:sz w:val="18"/>
      <w:szCs w:val="18"/>
    </w:rPr>
  </w:style>
  <w:style w:type="paragraph" w:styleId="15">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unhideWhenUsed/>
    <w:uiPriority w:val="0"/>
  </w:style>
  <w:style w:type="paragraph" w:styleId="17">
    <w:name w:val="footnote text"/>
    <w:basedOn w:val="1"/>
    <w:link w:val="108"/>
    <w:qFormat/>
    <w:uiPriority w:val="0"/>
    <w:pPr>
      <w:snapToGrid w:val="0"/>
      <w:jc w:val="left"/>
    </w:pPr>
    <w:rPr>
      <w:sz w:val="18"/>
    </w:rPr>
  </w:style>
  <w:style w:type="paragraph" w:styleId="18">
    <w:name w:val="Body Text Indent 3"/>
    <w:basedOn w:val="1"/>
    <w:link w:val="109"/>
    <w:qFormat/>
    <w:uiPriority w:val="0"/>
    <w:pPr>
      <w:spacing w:after="120"/>
      <w:ind w:left="420" w:leftChars="200"/>
    </w:pPr>
    <w:rPr>
      <w:sz w:val="16"/>
      <w:szCs w:val="16"/>
    </w:rPr>
  </w:style>
  <w:style w:type="paragraph" w:styleId="19">
    <w:name w:val="HTML Preformatted"/>
    <w:basedOn w:val="1"/>
    <w:link w:val="21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1">
    <w:name w:val="Title"/>
    <w:basedOn w:val="1"/>
    <w:next w:val="1"/>
    <w:link w:val="111"/>
    <w:qFormat/>
    <w:uiPriority w:val="0"/>
    <w:pPr>
      <w:spacing w:before="240" w:after="60"/>
      <w:ind w:firstLine="200" w:firstLineChars="200"/>
      <w:jc w:val="center"/>
      <w:outlineLvl w:val="0"/>
    </w:pPr>
    <w:rPr>
      <w:rFonts w:ascii="Cambria" w:hAnsi="Cambria" w:eastAsia="黑体"/>
      <w:b/>
      <w:bCs/>
      <w:sz w:val="32"/>
      <w:szCs w:val="32"/>
    </w:rPr>
  </w:style>
  <w:style w:type="paragraph" w:styleId="22">
    <w:name w:val="Body Text First Indent 2"/>
    <w:basedOn w:val="8"/>
    <w:link w:val="57"/>
    <w:unhideWhenUsed/>
    <w:qFormat/>
    <w:uiPriority w:val="0"/>
    <w:pPr>
      <w:spacing w:after="120" w:line="240" w:lineRule="auto"/>
      <w:ind w:left="420" w:leftChars="200" w:firstLine="420" w:firstLineChars="200"/>
    </w:pPr>
    <w:rPr>
      <w:rFonts w:ascii="Times New Roman" w:hAnsi="Times New Roman" w:eastAsia="宋体"/>
      <w:sz w:val="21"/>
      <w:szCs w:val="24"/>
    </w:rPr>
  </w:style>
  <w:style w:type="table" w:styleId="24">
    <w:name w:val="Table Grid"/>
    <w:basedOn w:val="2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endnote reference"/>
    <w:basedOn w:val="25"/>
    <w:qFormat/>
    <w:uiPriority w:val="0"/>
    <w:rPr>
      <w:vertAlign w:val="superscript"/>
    </w:rPr>
  </w:style>
  <w:style w:type="character" w:styleId="28">
    <w:name w:val="page number"/>
    <w:basedOn w:val="25"/>
    <w:qFormat/>
    <w:uiPriority w:val="0"/>
  </w:style>
  <w:style w:type="character" w:styleId="29">
    <w:name w:val="FollowedHyperlink"/>
    <w:basedOn w:val="25"/>
    <w:unhideWhenUsed/>
    <w:qFormat/>
    <w:uiPriority w:val="99"/>
    <w:rPr>
      <w:color w:val="800080"/>
      <w:u w:val="single"/>
    </w:rPr>
  </w:style>
  <w:style w:type="character" w:styleId="30">
    <w:name w:val="Hyperlink"/>
    <w:basedOn w:val="25"/>
    <w:qFormat/>
    <w:uiPriority w:val="99"/>
    <w:rPr>
      <w:color w:val="0000FF"/>
      <w:u w:val="single"/>
    </w:rPr>
  </w:style>
  <w:style w:type="character" w:styleId="31">
    <w:name w:val="footnote reference"/>
    <w:basedOn w:val="25"/>
    <w:qFormat/>
    <w:uiPriority w:val="0"/>
    <w:rPr>
      <w:vertAlign w:val="superscript"/>
    </w:rPr>
  </w:style>
  <w:style w:type="character" w:customStyle="1" w:styleId="32">
    <w:name w:val="标题 1 Char"/>
    <w:basedOn w:val="25"/>
    <w:link w:val="3"/>
    <w:qFormat/>
    <w:uiPriority w:val="0"/>
    <w:rPr>
      <w:rFonts w:eastAsia="宋体"/>
      <w:b/>
      <w:bCs/>
      <w:kern w:val="44"/>
      <w:sz w:val="44"/>
      <w:szCs w:val="44"/>
      <w:lang w:val="en-US" w:eastAsia="zh-CN" w:bidi="ar-SA"/>
    </w:rPr>
  </w:style>
  <w:style w:type="character" w:customStyle="1" w:styleId="33">
    <w:name w:val="正文文本缩进 Char"/>
    <w:basedOn w:val="25"/>
    <w:link w:val="8"/>
    <w:uiPriority w:val="0"/>
    <w:rPr>
      <w:rFonts w:ascii="仿宋_GB2312" w:hAnsi="宋体" w:eastAsia="仿宋_GB2312"/>
      <w:kern w:val="2"/>
      <w:sz w:val="32"/>
      <w:szCs w:val="30"/>
    </w:rPr>
  </w:style>
  <w:style w:type="character" w:customStyle="1" w:styleId="34">
    <w:name w:val="日期 Char"/>
    <w:basedOn w:val="25"/>
    <w:link w:val="10"/>
    <w:uiPriority w:val="99"/>
    <w:rPr>
      <w:rFonts w:ascii="Times New Roman" w:hAnsi="Times New Roman" w:eastAsia="仿宋_GB2312"/>
      <w:kern w:val="2"/>
      <w:sz w:val="32"/>
    </w:rPr>
  </w:style>
  <w:style w:type="character" w:customStyle="1" w:styleId="35">
    <w:name w:val="页脚 Char"/>
    <w:basedOn w:val="25"/>
    <w:link w:val="14"/>
    <w:qFormat/>
    <w:locked/>
    <w:uiPriority w:val="99"/>
    <w:rPr>
      <w:rFonts w:eastAsia="宋体"/>
      <w:kern w:val="2"/>
      <w:sz w:val="18"/>
      <w:szCs w:val="18"/>
      <w:lang w:val="en-US" w:eastAsia="zh-CN" w:bidi="ar-SA"/>
    </w:rPr>
  </w:style>
  <w:style w:type="character" w:customStyle="1" w:styleId="36">
    <w:name w:val="页眉 Char"/>
    <w:basedOn w:val="25"/>
    <w:link w:val="15"/>
    <w:semiHidden/>
    <w:qFormat/>
    <w:locked/>
    <w:uiPriority w:val="99"/>
    <w:rPr>
      <w:rFonts w:eastAsia="宋体"/>
      <w:kern w:val="2"/>
      <w:sz w:val="18"/>
      <w:szCs w:val="18"/>
      <w:lang w:val="en-US" w:eastAsia="zh-CN" w:bidi="ar-SA"/>
    </w:rPr>
  </w:style>
  <w:style w:type="paragraph" w:customStyle="1" w:styleId="37">
    <w:name w:val="Char1"/>
    <w:basedOn w:val="1"/>
    <w:qFormat/>
    <w:uiPriority w:val="0"/>
  </w:style>
  <w:style w:type="paragraph" w:customStyle="1" w:styleId="38">
    <w:name w:val="Char111"/>
    <w:basedOn w:val="1"/>
    <w:qFormat/>
    <w:uiPriority w:val="0"/>
  </w:style>
  <w:style w:type="paragraph" w:customStyle="1" w:styleId="39">
    <w:name w:val="普通文字"/>
    <w:basedOn w:val="1"/>
    <w:next w:val="1"/>
    <w:qFormat/>
    <w:uiPriority w:val="0"/>
    <w:pPr>
      <w:widowControl/>
    </w:pPr>
    <w:rPr>
      <w:rFonts w:ascii="宋体"/>
      <w:b/>
      <w:color w:val="000000"/>
      <w:szCs w:val="20"/>
    </w:rPr>
  </w:style>
  <w:style w:type="paragraph" w:customStyle="1" w:styleId="40">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Char Char Char Char"/>
    <w:basedOn w:val="1"/>
    <w:qFormat/>
    <w:uiPriority w:val="0"/>
    <w:pPr>
      <w:widowControl/>
      <w:spacing w:after="160" w:line="240" w:lineRule="exact"/>
      <w:jc w:val="left"/>
    </w:pPr>
  </w:style>
  <w:style w:type="character" w:customStyle="1" w:styleId="42">
    <w:name w:val="style481"/>
    <w:basedOn w:val="25"/>
    <w:qFormat/>
    <w:uiPriority w:val="0"/>
    <w:rPr>
      <w:sz w:val="16"/>
      <w:szCs w:val="16"/>
    </w:rPr>
  </w:style>
  <w:style w:type="paragraph" w:customStyle="1" w:styleId="43">
    <w:name w:val="Char11"/>
    <w:basedOn w:val="1"/>
    <w:qFormat/>
    <w:uiPriority w:val="0"/>
  </w:style>
  <w:style w:type="paragraph" w:customStyle="1" w:styleId="44">
    <w:name w:val="Char"/>
    <w:basedOn w:val="5"/>
    <w:qFormat/>
    <w:uiPriority w:val="0"/>
    <w:rPr>
      <w:rFonts w:ascii="Tahoma" w:hAnsi="Tahoma"/>
      <w:sz w:val="24"/>
    </w:rPr>
  </w:style>
  <w:style w:type="character" w:customStyle="1" w:styleId="45">
    <w:name w:val="apple-converted-space"/>
    <w:basedOn w:val="25"/>
    <w:qFormat/>
    <w:uiPriority w:val="0"/>
  </w:style>
  <w:style w:type="paragraph" w:customStyle="1" w:styleId="46">
    <w:name w:val="列出段落1"/>
    <w:basedOn w:val="1"/>
    <w:qFormat/>
    <w:uiPriority w:val="34"/>
    <w:pPr>
      <w:ind w:firstLine="420" w:firstLineChars="200"/>
    </w:pPr>
    <w:rPr>
      <w:rFonts w:ascii="等线" w:hAnsi="等线" w:eastAsia="等线"/>
      <w:szCs w:val="22"/>
    </w:rPr>
  </w:style>
  <w:style w:type="paragraph" w:styleId="47">
    <w:name w:val="List Paragraph"/>
    <w:basedOn w:val="1"/>
    <w:qFormat/>
    <w:uiPriority w:val="34"/>
    <w:pPr>
      <w:ind w:firstLine="420" w:firstLineChars="200"/>
    </w:pPr>
    <w:rPr>
      <w:rFonts w:ascii="Calibri" w:hAnsi="Calibri"/>
    </w:rPr>
  </w:style>
  <w:style w:type="paragraph" w:customStyle="1" w:styleId="48">
    <w:name w:val="正文首行缩进 21"/>
    <w:basedOn w:val="1"/>
    <w:qFormat/>
    <w:uiPriority w:val="0"/>
    <w:pPr>
      <w:ind w:left="420" w:leftChars="200" w:firstLine="420" w:firstLineChars="200"/>
    </w:pPr>
    <w:rPr>
      <w:rFonts w:ascii="Calibri" w:hAnsi="Calibri"/>
      <w:sz w:val="32"/>
      <w:szCs w:val="22"/>
    </w:rPr>
  </w:style>
  <w:style w:type="paragraph" w:customStyle="1" w:styleId="4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0">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rPr>
  </w:style>
  <w:style w:type="paragraph" w:customStyle="1" w:styleId="5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4"/>
    </w:rPr>
  </w:style>
  <w:style w:type="paragraph" w:customStyle="1" w:styleId="53">
    <w:name w:val="xl67"/>
    <w:basedOn w:val="1"/>
    <w:qFormat/>
    <w:uiPriority w:val="0"/>
    <w:pPr>
      <w:widowControl/>
      <w:spacing w:before="100" w:beforeAutospacing="1" w:after="100" w:afterAutospacing="1"/>
      <w:jc w:val="center"/>
    </w:pPr>
    <w:rPr>
      <w:rFonts w:ascii="宋体" w:hAnsi="宋体" w:cs="宋体"/>
      <w:kern w:val="0"/>
      <w:sz w:val="24"/>
    </w:rPr>
  </w:style>
  <w:style w:type="paragraph" w:customStyle="1" w:styleId="5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rPr>
  </w:style>
  <w:style w:type="paragraph" w:customStyle="1" w:styleId="55">
    <w:name w:val="xl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cs="宋体"/>
      <w:kern w:val="0"/>
      <w:sz w:val="24"/>
    </w:rPr>
  </w:style>
  <w:style w:type="character" w:customStyle="1" w:styleId="56">
    <w:name w:val="批注框文本 Char"/>
    <w:basedOn w:val="25"/>
    <w:link w:val="13"/>
    <w:uiPriority w:val="0"/>
    <w:rPr>
      <w:rFonts w:ascii="Times New Roman" w:hAnsi="Times New Roman"/>
      <w:kern w:val="2"/>
      <w:sz w:val="18"/>
      <w:szCs w:val="18"/>
    </w:rPr>
  </w:style>
  <w:style w:type="character" w:customStyle="1" w:styleId="57">
    <w:name w:val="正文首行缩进 2 Char"/>
    <w:basedOn w:val="33"/>
    <w:link w:val="22"/>
    <w:qFormat/>
    <w:uiPriority w:val="0"/>
    <w:rPr>
      <w:rFonts w:ascii="Times New Roman" w:hAnsi="Times New Roman" w:eastAsia="仿宋_GB2312"/>
      <w:kern w:val="2"/>
      <w:sz w:val="21"/>
      <w:szCs w:val="24"/>
    </w:rPr>
  </w:style>
  <w:style w:type="paragraph" w:customStyle="1" w:styleId="58">
    <w:name w:val="cas_content"/>
    <w:basedOn w:val="1"/>
    <w:qFormat/>
    <w:uiPriority w:val="0"/>
    <w:pPr>
      <w:widowControl/>
      <w:jc w:val="left"/>
    </w:pPr>
    <w:rPr>
      <w:rFonts w:ascii="宋体" w:hAnsi="宋体" w:cs="宋体"/>
      <w:kern w:val="0"/>
      <w:sz w:val="24"/>
    </w:rPr>
  </w:style>
  <w:style w:type="paragraph" w:customStyle="1" w:styleId="59">
    <w:name w:val="font7"/>
    <w:basedOn w:val="1"/>
    <w:qFormat/>
    <w:uiPriority w:val="0"/>
    <w:pPr>
      <w:widowControl/>
      <w:spacing w:before="100" w:beforeAutospacing="1" w:after="100" w:afterAutospacing="1"/>
      <w:jc w:val="left"/>
    </w:pPr>
    <w:rPr>
      <w:rFonts w:ascii="黑体" w:hAnsi="黑体" w:eastAsia="黑体" w:cs="宋体"/>
      <w:b/>
      <w:bCs/>
      <w:kern w:val="0"/>
      <w:sz w:val="20"/>
      <w:szCs w:val="20"/>
    </w:rPr>
  </w:style>
  <w:style w:type="paragraph" w:customStyle="1" w:styleId="60">
    <w:name w:val="font8"/>
    <w:basedOn w:val="1"/>
    <w:qFormat/>
    <w:uiPriority w:val="0"/>
    <w:pPr>
      <w:widowControl/>
      <w:spacing w:before="100" w:beforeAutospacing="1" w:after="100" w:afterAutospacing="1"/>
      <w:jc w:val="left"/>
    </w:pPr>
    <w:rPr>
      <w:color w:val="000000"/>
      <w:kern w:val="0"/>
      <w:sz w:val="20"/>
      <w:szCs w:val="20"/>
    </w:rPr>
  </w:style>
  <w:style w:type="paragraph" w:customStyle="1" w:styleId="61">
    <w:name w:val="font9"/>
    <w:basedOn w:val="1"/>
    <w:qFormat/>
    <w:uiPriority w:val="0"/>
    <w:pPr>
      <w:widowControl/>
      <w:spacing w:before="100" w:beforeAutospacing="1" w:after="100" w:afterAutospacing="1"/>
      <w:jc w:val="left"/>
    </w:pPr>
    <w:rPr>
      <w:color w:val="000000"/>
      <w:kern w:val="0"/>
      <w:sz w:val="20"/>
      <w:szCs w:val="20"/>
    </w:rPr>
  </w:style>
  <w:style w:type="paragraph" w:customStyle="1" w:styleId="62">
    <w:name w:val="font1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63">
    <w:name w:val="font11"/>
    <w:basedOn w:val="1"/>
    <w:qFormat/>
    <w:uiPriority w:val="0"/>
    <w:pPr>
      <w:widowControl/>
      <w:spacing w:before="100" w:beforeAutospacing="1" w:after="100" w:afterAutospacing="1"/>
      <w:jc w:val="left"/>
    </w:pPr>
    <w:rPr>
      <w:color w:val="000000"/>
      <w:kern w:val="0"/>
      <w:sz w:val="20"/>
      <w:szCs w:val="20"/>
    </w:rPr>
  </w:style>
  <w:style w:type="paragraph" w:customStyle="1" w:styleId="64">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65">
    <w:name w:val="font1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6">
    <w:name w:val="font14"/>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67">
    <w:name w:val="font1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8">
    <w:name w:val="xl459"/>
    <w:basedOn w:val="1"/>
    <w:qFormat/>
    <w:uiPriority w:val="0"/>
    <w:pPr>
      <w:widowControl/>
      <w:spacing w:before="100" w:beforeAutospacing="1" w:after="100" w:afterAutospacing="1"/>
      <w:jc w:val="left"/>
    </w:pPr>
    <w:rPr>
      <w:rFonts w:ascii="黑体" w:hAnsi="黑体" w:eastAsia="黑体" w:cs="宋体"/>
      <w:kern w:val="0"/>
      <w:sz w:val="20"/>
      <w:szCs w:val="20"/>
    </w:rPr>
  </w:style>
  <w:style w:type="paragraph" w:customStyle="1" w:styleId="69">
    <w:name w:val="xl460"/>
    <w:basedOn w:val="1"/>
    <w:qFormat/>
    <w:uiPriority w:val="0"/>
    <w:pPr>
      <w:widowControl/>
      <w:spacing w:before="100" w:beforeAutospacing="1" w:after="100" w:afterAutospacing="1"/>
      <w:jc w:val="left"/>
    </w:pPr>
    <w:rPr>
      <w:kern w:val="0"/>
      <w:sz w:val="20"/>
      <w:szCs w:val="20"/>
    </w:rPr>
  </w:style>
  <w:style w:type="paragraph" w:customStyle="1" w:styleId="70">
    <w:name w:val="xl4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71">
    <w:name w:val="xl4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2">
    <w:name w:val="xl4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3">
    <w:name w:val="xl4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4">
    <w:name w:val="xl4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5">
    <w:name w:val="xl4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6">
    <w:name w:val="xl4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7">
    <w:name w:val="xl4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8">
    <w:name w:val="xl4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9">
    <w:name w:val="xl4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80">
    <w:name w:val="xl4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81">
    <w:name w:val="xl4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82">
    <w:name w:val="xl4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83">
    <w:name w:val="xl4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84">
    <w:name w:val="xl4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85">
    <w:name w:val="xl47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86">
    <w:name w:val="xl4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87">
    <w:name w:val="xl4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88">
    <w:name w:val="xl479"/>
    <w:basedOn w:val="1"/>
    <w:qFormat/>
    <w:uiPriority w:val="0"/>
    <w:pPr>
      <w:widowControl/>
      <w:spacing w:before="100" w:beforeAutospacing="1" w:after="100" w:afterAutospacing="1"/>
      <w:jc w:val="center"/>
    </w:pPr>
    <w:rPr>
      <w:rFonts w:ascii="宋体" w:hAnsi="宋体" w:cs="宋体"/>
      <w:kern w:val="0"/>
      <w:sz w:val="24"/>
    </w:rPr>
  </w:style>
  <w:style w:type="paragraph" w:customStyle="1" w:styleId="89">
    <w:name w:val="xl4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90">
    <w:name w:val="xl4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91">
    <w:name w:val="xl4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92">
    <w:name w:val="xl48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93">
    <w:name w:val="xl48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94">
    <w:name w:val="xl4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95">
    <w:name w:val="xl4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96">
    <w:name w:val="xl4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97">
    <w:name w:val="xl4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98">
    <w:name w:val="xl489"/>
    <w:basedOn w:val="1"/>
    <w:qFormat/>
    <w:uiPriority w:val="0"/>
    <w:pPr>
      <w:widowControl/>
      <w:pBdr>
        <w:bottom w:val="single" w:color="auto" w:sz="4" w:space="0"/>
      </w:pBdr>
      <w:spacing w:before="100" w:beforeAutospacing="1" w:after="100" w:afterAutospacing="1"/>
      <w:jc w:val="center"/>
      <w:textAlignment w:val="center"/>
    </w:pPr>
    <w:rPr>
      <w:rFonts w:ascii="方正小标宋简体" w:hAnsi="宋体" w:eastAsia="方正小标宋简体" w:cs="宋体"/>
      <w:kern w:val="0"/>
      <w:sz w:val="36"/>
      <w:szCs w:val="36"/>
    </w:rPr>
  </w:style>
  <w:style w:type="paragraph" w:customStyle="1" w:styleId="99">
    <w:name w:val="xl457"/>
    <w:basedOn w:val="1"/>
    <w:uiPriority w:val="0"/>
    <w:pPr>
      <w:widowControl/>
      <w:spacing w:before="100" w:beforeAutospacing="1" w:after="100" w:afterAutospacing="1"/>
      <w:jc w:val="left"/>
    </w:pPr>
    <w:rPr>
      <w:rFonts w:ascii="黑体" w:hAnsi="黑体" w:eastAsia="黑体" w:cs="宋体"/>
      <w:kern w:val="0"/>
      <w:sz w:val="20"/>
      <w:szCs w:val="20"/>
    </w:rPr>
  </w:style>
  <w:style w:type="paragraph" w:customStyle="1" w:styleId="100">
    <w:name w:val="xl458"/>
    <w:basedOn w:val="1"/>
    <w:uiPriority w:val="0"/>
    <w:pPr>
      <w:widowControl/>
      <w:spacing w:before="100" w:beforeAutospacing="1" w:after="100" w:afterAutospacing="1"/>
      <w:jc w:val="left"/>
    </w:pPr>
    <w:rPr>
      <w:kern w:val="0"/>
      <w:sz w:val="20"/>
      <w:szCs w:val="20"/>
    </w:rPr>
  </w:style>
  <w:style w:type="paragraph" w:customStyle="1" w:styleId="101">
    <w:name w:val="Char12"/>
    <w:basedOn w:val="1"/>
    <w:qFormat/>
    <w:uiPriority w:val="0"/>
  </w:style>
  <w:style w:type="character" w:customStyle="1" w:styleId="102">
    <w:name w:val="标题 2 Char"/>
    <w:basedOn w:val="25"/>
    <w:link w:val="4"/>
    <w:uiPriority w:val="0"/>
    <w:rPr>
      <w:rFonts w:ascii="宋体" w:hAnsi="宋体"/>
      <w:b/>
      <w:sz w:val="18"/>
      <w:szCs w:val="18"/>
    </w:rPr>
  </w:style>
  <w:style w:type="character" w:customStyle="1" w:styleId="103">
    <w:name w:val="文档结构图 Char"/>
    <w:basedOn w:val="25"/>
    <w:link w:val="5"/>
    <w:semiHidden/>
    <w:uiPriority w:val="0"/>
    <w:rPr>
      <w:rFonts w:ascii="Times New Roman" w:hAnsi="Times New Roman"/>
      <w:kern w:val="2"/>
      <w:sz w:val="21"/>
      <w:szCs w:val="24"/>
      <w:shd w:val="clear" w:color="auto" w:fill="000080"/>
    </w:rPr>
  </w:style>
  <w:style w:type="character" w:customStyle="1" w:styleId="104">
    <w:name w:val="正文文本 Char"/>
    <w:basedOn w:val="25"/>
    <w:link w:val="7"/>
    <w:uiPriority w:val="0"/>
    <w:rPr>
      <w:rFonts w:ascii="Times New Roman" w:hAnsi="Times New Roman"/>
      <w:kern w:val="2"/>
      <w:sz w:val="21"/>
      <w:szCs w:val="24"/>
    </w:rPr>
  </w:style>
  <w:style w:type="character" w:customStyle="1" w:styleId="105">
    <w:name w:val="纯文本 Char"/>
    <w:basedOn w:val="25"/>
    <w:link w:val="9"/>
    <w:uiPriority w:val="0"/>
    <w:rPr>
      <w:rFonts w:ascii="宋体" w:hAnsi="Courier New" w:cs="Courier New"/>
      <w:kern w:val="2"/>
      <w:sz w:val="21"/>
      <w:szCs w:val="21"/>
    </w:rPr>
  </w:style>
  <w:style w:type="character" w:customStyle="1" w:styleId="106">
    <w:name w:val="正文文本缩进 2 Char"/>
    <w:basedOn w:val="25"/>
    <w:link w:val="11"/>
    <w:uiPriority w:val="0"/>
    <w:rPr>
      <w:rFonts w:ascii="仿宋_GB2312" w:hAnsi="Times New Roman" w:eastAsia="仿宋_GB2312"/>
      <w:kern w:val="2"/>
      <w:sz w:val="32"/>
      <w:szCs w:val="24"/>
    </w:rPr>
  </w:style>
  <w:style w:type="character" w:customStyle="1" w:styleId="107">
    <w:name w:val="尾注文本 Char"/>
    <w:basedOn w:val="25"/>
    <w:link w:val="12"/>
    <w:uiPriority w:val="0"/>
    <w:rPr>
      <w:rFonts w:ascii="Times New Roman" w:hAnsi="Times New Roman"/>
      <w:kern w:val="2"/>
      <w:sz w:val="21"/>
      <w:szCs w:val="24"/>
    </w:rPr>
  </w:style>
  <w:style w:type="character" w:customStyle="1" w:styleId="108">
    <w:name w:val="脚注文本 Char"/>
    <w:basedOn w:val="25"/>
    <w:link w:val="17"/>
    <w:uiPriority w:val="0"/>
    <w:rPr>
      <w:rFonts w:ascii="Times New Roman" w:hAnsi="Times New Roman"/>
      <w:kern w:val="2"/>
      <w:sz w:val="18"/>
      <w:szCs w:val="24"/>
    </w:rPr>
  </w:style>
  <w:style w:type="character" w:customStyle="1" w:styleId="109">
    <w:name w:val="正文文本缩进 3 Char"/>
    <w:basedOn w:val="25"/>
    <w:link w:val="18"/>
    <w:uiPriority w:val="0"/>
    <w:rPr>
      <w:rFonts w:ascii="Times New Roman" w:hAnsi="Times New Roman"/>
      <w:kern w:val="2"/>
      <w:sz w:val="16"/>
      <w:szCs w:val="16"/>
    </w:rPr>
  </w:style>
  <w:style w:type="paragraph" w:customStyle="1" w:styleId="110">
    <w:name w:val="正文文字缩进"/>
    <w:basedOn w:val="1"/>
    <w:next w:val="1"/>
    <w:uiPriority w:val="0"/>
    <w:pPr>
      <w:widowControl/>
      <w:spacing w:line="360" w:lineRule="auto"/>
      <w:ind w:left="900" w:hanging="900"/>
    </w:pPr>
    <w:rPr>
      <w:color w:val="000000"/>
      <w:kern w:val="0"/>
      <w:sz w:val="30"/>
      <w:szCs w:val="20"/>
    </w:rPr>
  </w:style>
  <w:style w:type="character" w:customStyle="1" w:styleId="111">
    <w:name w:val="标题 Char"/>
    <w:basedOn w:val="25"/>
    <w:link w:val="21"/>
    <w:uiPriority w:val="99"/>
    <w:rPr>
      <w:rFonts w:ascii="Cambria" w:hAnsi="Cambria" w:eastAsia="黑体"/>
      <w:b/>
      <w:bCs/>
      <w:kern w:val="2"/>
      <w:sz w:val="32"/>
      <w:szCs w:val="32"/>
    </w:rPr>
  </w:style>
  <w:style w:type="paragraph" w:customStyle="1" w:styleId="112">
    <w:name w:val="Char13"/>
    <w:basedOn w:val="1"/>
    <w:uiPriority w:val="0"/>
  </w:style>
  <w:style w:type="paragraph" w:customStyle="1" w:styleId="113">
    <w:name w:val="Char14"/>
    <w:basedOn w:val="1"/>
    <w:qFormat/>
    <w:uiPriority w:val="0"/>
  </w:style>
  <w:style w:type="character" w:customStyle="1" w:styleId="114">
    <w:name w:val="Body text|1_"/>
    <w:basedOn w:val="25"/>
    <w:link w:val="115"/>
    <w:locked/>
    <w:uiPriority w:val="0"/>
    <w:rPr>
      <w:rFonts w:ascii="宋体" w:hAnsi="宋体" w:cs="宋体"/>
      <w:sz w:val="30"/>
      <w:szCs w:val="30"/>
      <w:lang w:val="zh-TW" w:eastAsia="zh-TW" w:bidi="zh-TW"/>
    </w:rPr>
  </w:style>
  <w:style w:type="paragraph" w:customStyle="1" w:styleId="115">
    <w:name w:val="Body text|1"/>
    <w:basedOn w:val="1"/>
    <w:link w:val="114"/>
    <w:uiPriority w:val="0"/>
    <w:pPr>
      <w:spacing w:line="400" w:lineRule="auto"/>
      <w:ind w:firstLine="400"/>
      <w:jc w:val="left"/>
    </w:pPr>
    <w:rPr>
      <w:rFonts w:ascii="宋体" w:hAnsi="宋体" w:cs="宋体"/>
      <w:kern w:val="0"/>
      <w:sz w:val="30"/>
      <w:szCs w:val="30"/>
      <w:lang w:val="zh-TW" w:eastAsia="zh-TW" w:bidi="zh-TW"/>
    </w:rPr>
  </w:style>
  <w:style w:type="character" w:customStyle="1" w:styleId="116">
    <w:name w:val="NormalCharacter"/>
    <w:qFormat/>
    <w:uiPriority w:val="0"/>
  </w:style>
  <w:style w:type="character" w:customStyle="1" w:styleId="117">
    <w:name w:val="s1"/>
    <w:basedOn w:val="25"/>
    <w:qFormat/>
    <w:uiPriority w:val="0"/>
    <w:rPr>
      <w:rFonts w:ascii="Times" w:hAnsi="Times" w:eastAsia="Times" w:cs="Times"/>
      <w:sz w:val="16"/>
      <w:szCs w:val="16"/>
    </w:rPr>
  </w:style>
  <w:style w:type="paragraph" w:customStyle="1" w:styleId="118">
    <w:name w:val="msonormal"/>
    <w:basedOn w:val="1"/>
    <w:uiPriority w:val="0"/>
    <w:pPr>
      <w:widowControl/>
      <w:spacing w:before="100" w:beforeAutospacing="1" w:after="100" w:afterAutospacing="1"/>
      <w:jc w:val="left"/>
    </w:pPr>
    <w:rPr>
      <w:rFonts w:ascii="宋体" w:hAnsi="宋体" w:cs="宋体"/>
      <w:kern w:val="0"/>
      <w:sz w:val="24"/>
    </w:rPr>
  </w:style>
  <w:style w:type="paragraph" w:customStyle="1" w:styleId="119">
    <w:name w:val="xl113"/>
    <w:basedOn w:val="1"/>
    <w:uiPriority w:val="0"/>
    <w:pPr>
      <w:widowControl/>
      <w:spacing w:before="100" w:beforeAutospacing="1" w:after="100" w:afterAutospacing="1"/>
      <w:jc w:val="left"/>
      <w:textAlignment w:val="center"/>
    </w:pPr>
    <w:rPr>
      <w:rFonts w:ascii="宋体" w:hAnsi="宋体" w:cs="宋体"/>
      <w:kern w:val="0"/>
      <w:sz w:val="24"/>
    </w:rPr>
  </w:style>
  <w:style w:type="paragraph" w:customStyle="1" w:styleId="120">
    <w:name w:val="xl114"/>
    <w:basedOn w:val="1"/>
    <w:uiPriority w:val="0"/>
    <w:pPr>
      <w:widowControl/>
      <w:spacing w:before="100" w:beforeAutospacing="1" w:after="100" w:afterAutospacing="1"/>
      <w:jc w:val="left"/>
      <w:textAlignment w:val="center"/>
    </w:pPr>
    <w:rPr>
      <w:rFonts w:ascii="宋体" w:hAnsi="宋体" w:cs="宋体"/>
      <w:kern w:val="0"/>
      <w:sz w:val="24"/>
    </w:rPr>
  </w:style>
  <w:style w:type="paragraph" w:customStyle="1" w:styleId="121">
    <w:name w:val="xl115"/>
    <w:basedOn w:val="1"/>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22">
    <w:name w:val="xl116"/>
    <w:basedOn w:val="1"/>
    <w:uiPriority w:val="0"/>
    <w:pPr>
      <w:widowControl/>
      <w:spacing w:before="100" w:beforeAutospacing="1" w:after="100" w:afterAutospacing="1"/>
      <w:jc w:val="left"/>
    </w:pPr>
    <w:rPr>
      <w:kern w:val="0"/>
      <w:sz w:val="24"/>
    </w:rPr>
  </w:style>
  <w:style w:type="paragraph" w:customStyle="1" w:styleId="123">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24">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000000"/>
      <w:kern w:val="0"/>
      <w:sz w:val="28"/>
      <w:szCs w:val="28"/>
    </w:rPr>
  </w:style>
  <w:style w:type="paragraph" w:customStyle="1" w:styleId="125">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26">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27">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28">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29">
    <w:name w:val="xl1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30">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31">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32">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33">
    <w:name w:val="xl1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34">
    <w:name w:val="xl1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35">
    <w:name w:val="xl1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36">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37">
    <w:name w:val="xl1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38">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39">
    <w:name w:val="xl1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40">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41">
    <w:name w:val="xl1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42">
    <w:name w:val="xl1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43">
    <w:name w:val="xl1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44">
    <w:name w:val="xl1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45">
    <w:name w:val="xl1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46">
    <w:name w:val="xl1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47">
    <w:name w:val="xl1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48">
    <w:name w:val="xl1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49">
    <w:name w:val="xl1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50">
    <w:name w:val="xl1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51">
    <w:name w:val="xl14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000000"/>
      <w:kern w:val="0"/>
      <w:sz w:val="28"/>
      <w:szCs w:val="28"/>
    </w:rPr>
  </w:style>
  <w:style w:type="paragraph" w:customStyle="1" w:styleId="152">
    <w:name w:val="xl1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000000"/>
      <w:kern w:val="0"/>
      <w:sz w:val="28"/>
      <w:szCs w:val="28"/>
    </w:rPr>
  </w:style>
  <w:style w:type="paragraph" w:customStyle="1" w:styleId="153">
    <w:name w:val="xl1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8"/>
      <w:szCs w:val="28"/>
    </w:rPr>
  </w:style>
  <w:style w:type="paragraph" w:customStyle="1" w:styleId="154">
    <w:name w:val="xl1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55">
    <w:name w:val="xl1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56">
    <w:name w:val="xl1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57">
    <w:name w:val="xl1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58">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59">
    <w:name w:val="xl1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60">
    <w:name w:val="xl15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61">
    <w:name w:val="xl1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62">
    <w:name w:val="xl1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63">
    <w:name w:val="xl1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64">
    <w:name w:val="xl1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65">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66">
    <w:name w:val="xl1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67">
    <w:name w:val="xl1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68">
    <w:name w:val="xl1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69">
    <w:name w:val="xl1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70">
    <w:name w:val="xl1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71">
    <w:name w:val="xl1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72">
    <w:name w:val="xl1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73">
    <w:name w:val="xl1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74">
    <w:name w:val="xl1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75">
    <w:name w:val="xl1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76">
    <w:name w:val="xl1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77">
    <w:name w:val="xl1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78">
    <w:name w:val="xl1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79">
    <w:name w:val="xl1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80">
    <w:name w:val="xl1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81">
    <w:name w:val="xl1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82">
    <w:name w:val="xl1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83">
    <w:name w:val="xl1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84">
    <w:name w:val="xl1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85">
    <w:name w:val="xl1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86">
    <w:name w:val="xl1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87">
    <w:name w:val="xl1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88">
    <w:name w:val="xl1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89">
    <w:name w:val="xl1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90">
    <w:name w:val="xl1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91">
    <w:name w:val="xl1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92">
    <w:name w:val="xl1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93">
    <w:name w:val="xl1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94">
    <w:name w:val="xl1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95">
    <w:name w:val="xl1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96">
    <w:name w:val="xl1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97">
    <w:name w:val="xl1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198">
    <w:name w:val="xl1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199">
    <w:name w:val="xl1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200">
    <w:name w:val="xl1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201">
    <w:name w:val="xl1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202">
    <w:name w:val="xl1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8"/>
      <w:szCs w:val="28"/>
    </w:rPr>
  </w:style>
  <w:style w:type="paragraph" w:customStyle="1" w:styleId="203">
    <w:name w:val="xl1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204">
    <w:name w:val="xl1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205">
    <w:name w:val="xl1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character" w:customStyle="1" w:styleId="206">
    <w:name w:val="正文文本_"/>
    <w:basedOn w:val="25"/>
    <w:link w:val="207"/>
    <w:qFormat/>
    <w:locked/>
    <w:uiPriority w:val="0"/>
    <w:rPr>
      <w:rFonts w:ascii="MingLiU" w:hAnsi="MingLiU" w:eastAsia="MingLiU" w:cs="MingLiU"/>
      <w:color w:val="4D4B52"/>
      <w:sz w:val="26"/>
      <w:szCs w:val="26"/>
      <w:shd w:val="clear" w:color="auto" w:fill="FFFFFF"/>
      <w:lang w:val="zh-CN" w:bidi="zh-CN"/>
    </w:rPr>
  </w:style>
  <w:style w:type="paragraph" w:customStyle="1" w:styleId="207">
    <w:name w:val="正文文本1"/>
    <w:basedOn w:val="1"/>
    <w:link w:val="206"/>
    <w:qFormat/>
    <w:uiPriority w:val="0"/>
    <w:pPr>
      <w:shd w:val="clear" w:color="auto" w:fill="FFFFFF"/>
      <w:spacing w:line="436" w:lineRule="auto"/>
      <w:ind w:firstLine="400"/>
      <w:jc w:val="left"/>
    </w:pPr>
    <w:rPr>
      <w:rFonts w:ascii="MingLiU" w:hAnsi="MingLiU" w:eastAsia="MingLiU" w:cs="MingLiU"/>
      <w:color w:val="4D4B52"/>
      <w:kern w:val="0"/>
      <w:sz w:val="26"/>
      <w:szCs w:val="26"/>
      <w:lang w:val="zh-CN" w:bidi="zh-CN"/>
    </w:rPr>
  </w:style>
  <w:style w:type="character" w:customStyle="1" w:styleId="208">
    <w:name w:val="正文文本 (2)_"/>
    <w:basedOn w:val="25"/>
    <w:link w:val="209"/>
    <w:locked/>
    <w:uiPriority w:val="0"/>
    <w:rPr>
      <w:rFonts w:ascii="MingLiU" w:hAnsi="MingLiU" w:eastAsia="MingLiU" w:cs="MingLiU"/>
      <w:sz w:val="26"/>
      <w:szCs w:val="26"/>
      <w:shd w:val="clear" w:color="auto" w:fill="FFFFFF"/>
      <w:lang w:val="zh-CN" w:bidi="zh-CN"/>
    </w:rPr>
  </w:style>
  <w:style w:type="paragraph" w:customStyle="1" w:styleId="209">
    <w:name w:val="正文文本 (2)"/>
    <w:basedOn w:val="1"/>
    <w:link w:val="208"/>
    <w:uiPriority w:val="0"/>
    <w:pPr>
      <w:shd w:val="clear" w:color="auto" w:fill="FFFFFF"/>
      <w:spacing w:line="561" w:lineRule="exact"/>
      <w:ind w:firstLine="670"/>
      <w:jc w:val="left"/>
    </w:pPr>
    <w:rPr>
      <w:rFonts w:ascii="MingLiU" w:hAnsi="MingLiU" w:eastAsia="MingLiU" w:cs="MingLiU"/>
      <w:kern w:val="0"/>
      <w:sz w:val="26"/>
      <w:szCs w:val="26"/>
      <w:lang w:val="zh-CN" w:bidi="zh-CN"/>
    </w:rPr>
  </w:style>
  <w:style w:type="character" w:customStyle="1" w:styleId="210">
    <w:name w:val="HTML 预设格式 Char"/>
    <w:basedOn w:val="25"/>
    <w:link w:val="19"/>
    <w:uiPriority w:val="0"/>
    <w:rPr>
      <w:rFonts w:ascii="宋体" w:hAnsi="宋体"/>
      <w:sz w:val="24"/>
      <w:szCs w:val="24"/>
    </w:rPr>
  </w:style>
  <w:style w:type="character" w:customStyle="1" w:styleId="211">
    <w:name w:val="text-tag"/>
    <w:basedOn w:val="25"/>
    <w:qFormat/>
    <w:uiPriority w:val="0"/>
  </w:style>
  <w:style w:type="character" w:customStyle="1" w:styleId="212">
    <w:name w:val="批注文字 Char"/>
    <w:basedOn w:val="25"/>
    <w:link w:val="6"/>
    <w:semiHidden/>
    <w:uiPriority w:val="0"/>
    <w:rPr>
      <w:rFonts w:cstheme="minorBidi"/>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header" Target="header6.xml"/><Relationship Id="rId16" Type="http://schemas.openxmlformats.org/officeDocument/2006/relationships/footer" Target="footer7.xml"/><Relationship Id="rId15" Type="http://schemas.openxmlformats.org/officeDocument/2006/relationships/header" Target="header5.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vert="eaVert" wrap="square" rtlCol="0"/>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98AE0B-45E8-439D-ABAC-68E8BAB654FD}">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41</Pages>
  <Words>2563</Words>
  <Characters>14613</Characters>
  <Lines>121</Lines>
  <Paragraphs>34</Paragraphs>
  <TotalTime>81</TotalTime>
  <ScaleCrop>false</ScaleCrop>
  <LinksUpToDate>false</LinksUpToDate>
  <CharactersWithSpaces>17142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2024-01-17T10:02:00Z</dcterms:created>
  <dc:creator>Lenovo User</dc:creator>
  <cp:lastModifiedBy>WPS_1682235729</cp:lastModifiedBy>
  <cp:lastPrinted>2024-01-17T09:58:00Z</cp:lastPrinted>
  <dcterms:modified xsi:type="dcterms:W3CDTF">2024-01-22T02:47:10Z</dcterms:modified>
  <dc:title>盐市建字〔2009〕281号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2449B7388657403AB69C499751AD0094</vt:lpwstr>
  </property>
</Properties>
</file>